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A0841" w:rsidRDefault="004A0841">
      <w:pPr>
        <w:rPr>
          <w:rFonts w:ascii="Cambria" w:eastAsia="Cambria" w:hAnsi="Cambria" w:cs="Cambria"/>
          <w:b/>
          <w:sz w:val="18"/>
          <w:szCs w:val="18"/>
        </w:rPr>
      </w:pPr>
    </w:p>
    <w:p w14:paraId="00000002" w14:textId="77777777" w:rsidR="004A0841" w:rsidRDefault="00000000">
      <w:pPr>
        <w:rPr>
          <w:rFonts w:ascii="Cambria" w:eastAsia="Cambria" w:hAnsi="Cambria" w:cs="Cambria"/>
          <w:b/>
          <w:sz w:val="18"/>
          <w:szCs w:val="18"/>
        </w:rPr>
      </w:pPr>
      <w:r>
        <w:rPr>
          <w:rFonts w:ascii="Cambria" w:eastAsia="Cambria" w:hAnsi="Cambria" w:cs="Cambria"/>
          <w:b/>
          <w:sz w:val="18"/>
          <w:szCs w:val="18"/>
        </w:rPr>
        <w:t>Raffaele De Giorgi</w:t>
      </w:r>
    </w:p>
    <w:p w14:paraId="00000003" w14:textId="77777777" w:rsidR="004A0841" w:rsidRDefault="004A0841">
      <w:pPr>
        <w:rPr>
          <w:rFonts w:ascii="Cambria" w:eastAsia="Cambria" w:hAnsi="Cambria" w:cs="Cambria"/>
          <w:b/>
          <w:sz w:val="18"/>
          <w:szCs w:val="18"/>
        </w:rPr>
      </w:pPr>
    </w:p>
    <w:p w14:paraId="00000004" w14:textId="77777777" w:rsidR="004A0841" w:rsidRDefault="004A0841">
      <w:pPr>
        <w:rPr>
          <w:rFonts w:ascii="Cambria" w:eastAsia="Cambria" w:hAnsi="Cambria" w:cs="Cambria"/>
          <w:b/>
          <w:sz w:val="18"/>
          <w:szCs w:val="18"/>
        </w:rPr>
      </w:pPr>
    </w:p>
    <w:p w14:paraId="00000005" w14:textId="77777777" w:rsidR="004A0841" w:rsidRDefault="00000000">
      <w:pPr>
        <w:jc w:val="center"/>
        <w:rPr>
          <w:rFonts w:ascii="Cambria" w:eastAsia="Cambria" w:hAnsi="Cambria" w:cs="Cambria"/>
          <w:b/>
          <w:i/>
          <w:sz w:val="21"/>
          <w:szCs w:val="21"/>
        </w:rPr>
      </w:pPr>
      <w:r>
        <w:rPr>
          <w:rFonts w:ascii="Cambria" w:eastAsia="Cambria" w:hAnsi="Cambria" w:cs="Cambria"/>
          <w:b/>
          <w:i/>
          <w:sz w:val="21"/>
          <w:szCs w:val="21"/>
        </w:rPr>
        <w:t>Erosão das constituições e contra iluminismo neopopulista</w:t>
      </w:r>
    </w:p>
    <w:p w14:paraId="00000006" w14:textId="77777777" w:rsidR="004A0841" w:rsidRDefault="004A0841">
      <w:pPr>
        <w:jc w:val="center"/>
        <w:rPr>
          <w:rFonts w:ascii="Cambria" w:eastAsia="Cambria" w:hAnsi="Cambria" w:cs="Cambria"/>
          <w:b/>
          <w:i/>
          <w:sz w:val="21"/>
          <w:szCs w:val="21"/>
        </w:rPr>
      </w:pPr>
    </w:p>
    <w:p w14:paraId="00000007" w14:textId="77777777" w:rsidR="004A0841" w:rsidRDefault="00000000">
      <w:pPr>
        <w:spacing w:after="0" w:line="480" w:lineRule="auto"/>
        <w:jc w:val="both"/>
        <w:rPr>
          <w:rFonts w:ascii="Cambria" w:eastAsia="Cambria" w:hAnsi="Cambria" w:cs="Cambria"/>
          <w:i/>
          <w:sz w:val="18"/>
          <w:szCs w:val="18"/>
        </w:rPr>
      </w:pPr>
      <w:r>
        <w:rPr>
          <w:rFonts w:ascii="Cambria" w:eastAsia="Cambria" w:hAnsi="Cambria" w:cs="Cambria"/>
          <w:i/>
          <w:sz w:val="18"/>
          <w:szCs w:val="18"/>
        </w:rPr>
        <w:t>A história do presente - Duas modernidades - A constituição da sociedade - A sociedade da constituição -  A latência estrutural - A erosão das constituições e o contra-iluminismo  neopopulista</w:t>
      </w:r>
    </w:p>
    <w:p w14:paraId="00000008" w14:textId="77777777" w:rsidR="004A0841" w:rsidRDefault="00000000">
      <w:pPr>
        <w:spacing w:line="480" w:lineRule="auto"/>
        <w:jc w:val="both"/>
        <w:rPr>
          <w:rFonts w:ascii="Cambria" w:eastAsia="Cambria" w:hAnsi="Cambria" w:cs="Cambria"/>
        </w:rPr>
      </w:pPr>
      <w:r>
        <w:rPr>
          <w:rFonts w:ascii="Cambria" w:eastAsia="Cambria" w:hAnsi="Cambria" w:cs="Cambria"/>
        </w:rPr>
        <w:t xml:space="preserve"> </w:t>
      </w:r>
    </w:p>
    <w:p w14:paraId="00000009" w14:textId="77777777" w:rsidR="004A0841" w:rsidRDefault="00000000">
      <w:pPr>
        <w:numPr>
          <w:ilvl w:val="0"/>
          <w:numId w:val="1"/>
        </w:numPr>
        <w:pBdr>
          <w:top w:val="nil"/>
          <w:left w:val="nil"/>
          <w:bottom w:val="nil"/>
          <w:right w:val="nil"/>
          <w:between w:val="nil"/>
        </w:pBdr>
        <w:spacing w:line="480" w:lineRule="auto"/>
        <w:jc w:val="both"/>
        <w:rPr>
          <w:rFonts w:ascii="Cambria" w:eastAsia="Cambria" w:hAnsi="Cambria" w:cs="Cambria"/>
          <w:color w:val="000000"/>
        </w:rPr>
      </w:pPr>
      <w:r>
        <w:rPr>
          <w:rFonts w:ascii="Cambria" w:eastAsia="Cambria" w:hAnsi="Cambria" w:cs="Cambria"/>
          <w:i/>
          <w:color w:val="000000"/>
        </w:rPr>
        <w:t>A história do presente</w:t>
      </w:r>
      <w:r>
        <w:rPr>
          <w:rFonts w:ascii="Cambria" w:eastAsia="Cambria" w:hAnsi="Cambria" w:cs="Cambria"/>
          <w:color w:val="000000"/>
        </w:rPr>
        <w:t xml:space="preserve"> </w:t>
      </w:r>
    </w:p>
    <w:p w14:paraId="0000000A"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celebração dos dois centenários da Constituição de 1824 é uma ocasião especialmente interessante para refletir sobre o presente a partir de uma perspetiva particular. Quero dizer: refletir sobre o </w:t>
      </w:r>
      <w:r>
        <w:rPr>
          <w:rFonts w:ascii="Cambria" w:eastAsia="Cambria" w:hAnsi="Cambria" w:cs="Cambria"/>
          <w:i/>
        </w:rPr>
        <w:t>presente como história</w:t>
      </w:r>
      <w:r>
        <w:rPr>
          <w:rFonts w:ascii="Cambria" w:eastAsia="Cambria" w:hAnsi="Cambria" w:cs="Cambria"/>
        </w:rPr>
        <w:t xml:space="preserve">. Refiro-me ao presente como o tempo que ele </w:t>
      </w:r>
      <w:r>
        <w:rPr>
          <w:rFonts w:ascii="Cambria" w:eastAsia="Cambria" w:hAnsi="Cambria" w:cs="Cambria"/>
          <w:i/>
        </w:rPr>
        <w:t>representa</w:t>
      </w:r>
      <w:r>
        <w:rPr>
          <w:rFonts w:ascii="Cambria" w:eastAsia="Cambria" w:hAnsi="Cambria" w:cs="Cambria"/>
        </w:rPr>
        <w:t>, isto é, o tempo que se faz presente como resultado, como ser, como ponto de chegada momentâneo, não como um começo.</w:t>
      </w:r>
    </w:p>
    <w:p w14:paraId="0000000B" w14:textId="77777777" w:rsidR="004A0841" w:rsidRDefault="00000000">
      <w:pPr>
        <w:spacing w:after="0" w:line="480" w:lineRule="auto"/>
        <w:jc w:val="both"/>
        <w:rPr>
          <w:rFonts w:ascii="Cambria" w:eastAsia="Cambria" w:hAnsi="Cambria" w:cs="Cambria"/>
        </w:rPr>
      </w:pPr>
      <w:r>
        <w:rPr>
          <w:rFonts w:ascii="Cambria" w:eastAsia="Cambria" w:hAnsi="Cambria" w:cs="Cambria"/>
        </w:rPr>
        <w:t>Como começo, o presente começa sempre por já ter começado. Não só porque o tempo da representação pressupõe que o presente tenha já sido, mas porque o presente é a sua história, é a história de si mesmo reatualizada como espaço da reflexão. Mas, ao mesmo tempo, essa história é reatualizada como o espaço em que se esconde a si mesma: de fato, não há a história, há o presente, que legitima assim a sua função como um início, como o tempo que impõe a construção de um futuro. Como o tempo da escolha. Também nós, dizia Kierkegaard, somos o resultado de nós próprios, estamos suspensos, estamos agarrados ao nosso agir, como uma aranha no abismo, que está suspensa na teia que ela mesma constrói. Também a constituição está presente nesse sentido.</w:t>
      </w:r>
    </w:p>
    <w:p w14:paraId="0000000C"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Celebrar significa, precisamente, considerar o presente como história. Significa desocultar as latências que escondem do presente a história do presente, desocultar as </w:t>
      </w:r>
      <w:r>
        <w:rPr>
          <w:rFonts w:ascii="Cambria" w:eastAsia="Cambria" w:hAnsi="Cambria" w:cs="Cambria"/>
        </w:rPr>
        <w:lastRenderedPageBreak/>
        <w:t>latências que fazem do presente o condensado da sua história, mas significa também fixar um começo. Mas mesmo este início oculta, em si, a si mesmo como história. Compreende-se, então, porque Hegel dizia que o problema da lógica é o começo. Nós sabemos, no entanto, que esse começo, como todos os começos, é já começado. A cada volta, é já começado. E é por isso que faz sentido ocupar-se dele.</w:t>
      </w:r>
    </w:p>
    <w:p w14:paraId="0000000D" w14:textId="77777777" w:rsidR="004A0841" w:rsidRDefault="00000000">
      <w:pPr>
        <w:spacing w:after="0" w:line="480" w:lineRule="auto"/>
        <w:jc w:val="both"/>
        <w:rPr>
          <w:rFonts w:ascii="Cambria" w:eastAsia="Cambria" w:hAnsi="Cambria" w:cs="Cambria"/>
          <w:highlight w:val="white"/>
        </w:rPr>
      </w:pPr>
      <w:r>
        <w:rPr>
          <w:rFonts w:ascii="Cambria" w:eastAsia="Cambria" w:hAnsi="Cambria" w:cs="Cambria"/>
        </w:rPr>
        <w:t xml:space="preserve">Peço desculpas ao público </w:t>
      </w:r>
      <w:r>
        <w:rPr>
          <w:rFonts w:ascii="Cambria" w:eastAsia="Cambria" w:hAnsi="Cambria" w:cs="Cambria"/>
          <w:i/>
        </w:rPr>
        <w:t>presente</w:t>
      </w:r>
      <w:r>
        <w:rPr>
          <w:rFonts w:ascii="Cambria" w:eastAsia="Cambria" w:hAnsi="Cambria" w:cs="Cambria"/>
        </w:rPr>
        <w:t xml:space="preserve"> se, no início da minha intervenção, utilizei essas reflexões sobre o </w:t>
      </w:r>
      <w:r>
        <w:rPr>
          <w:rFonts w:ascii="Cambria" w:eastAsia="Cambria" w:hAnsi="Cambria" w:cs="Cambria"/>
          <w:i/>
        </w:rPr>
        <w:t>presente</w:t>
      </w:r>
      <w:r>
        <w:rPr>
          <w:rFonts w:ascii="Cambria" w:eastAsia="Cambria" w:hAnsi="Cambria" w:cs="Cambria"/>
        </w:rPr>
        <w:t xml:space="preserve">. Os historiadores hão de me desculpar, tal como os juristas, em particular os constitucionalistas. Seria mais fácil reconstruir a história das constituições apresentando-a como o percurso de uma sempre mais larga expansão do reconhecimento dos direitos, da participação, da democracia. Como história de conquistas, como história de derrotas, de interrupções, de suspensões, de progressos na aquisição de novos direitos. Mas é isso que se faz todos os dias nas universidades, nos tribunais e nos parlamentos. Não é o caso de repetir aqui, hoje, o que se faz sempre. Não se trata de discutir sobre princípios ou garantias, sobre formas de inclusão e sobre técnicas de exclusão, sobre espaços de reconhecimento ou sobre técnicas de controle. Também isso se faz sempre. Como se fosse sempre um começo. Na realidade, trata-se da trama conceitual, do tecido conceitual das Constituições a partir do qual as Constituições </w:t>
      </w:r>
      <w:r>
        <w:rPr>
          <w:rFonts w:ascii="Cambria" w:eastAsia="Cambria" w:hAnsi="Cambria" w:cs="Cambria"/>
          <w:highlight w:val="white"/>
        </w:rPr>
        <w:t>refletem, elas mesmas, sobre si mesmas.</w:t>
      </w:r>
    </w:p>
    <w:p w14:paraId="0000000E"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Para ser claro: este tecido tem a mesma natureza que a </w:t>
      </w:r>
      <w:r>
        <w:rPr>
          <w:rFonts w:ascii="Cambria" w:eastAsia="Cambria" w:hAnsi="Cambria" w:cs="Cambria"/>
          <w:i/>
        </w:rPr>
        <w:t>paisagem</w:t>
      </w:r>
      <w:r>
        <w:rPr>
          <w:rFonts w:ascii="Cambria" w:eastAsia="Cambria" w:hAnsi="Cambria" w:cs="Cambria"/>
        </w:rPr>
        <w:t xml:space="preserve"> para a terra. Também a paisagem é um tecido de elementos que se assemelham a elementos da natureza. Mas é pura estética: estética da percepção. Mas quando a paisagem se torna </w:t>
      </w:r>
      <w:r>
        <w:rPr>
          <w:rFonts w:ascii="Cambria" w:eastAsia="Cambria" w:hAnsi="Cambria" w:cs="Cambria"/>
          <w:i/>
        </w:rPr>
        <w:t>propriedade</w:t>
      </w:r>
      <w:r>
        <w:rPr>
          <w:rFonts w:ascii="Cambria" w:eastAsia="Cambria" w:hAnsi="Cambria" w:cs="Cambria"/>
        </w:rPr>
        <w:t xml:space="preserve">, diz Saramago, é toda uma outra história. E, como qualquer história, também esta pode ser contada de outra forma. Como Saramago faz, precisamente, no seu maravilhoso romance </w:t>
      </w:r>
      <w:r>
        <w:rPr>
          <w:rFonts w:ascii="Cambria" w:eastAsia="Cambria" w:hAnsi="Cambria" w:cs="Cambria"/>
          <w:i/>
        </w:rPr>
        <w:t>Levantado do chão</w:t>
      </w:r>
      <w:r>
        <w:rPr>
          <w:rFonts w:ascii="Cambria" w:eastAsia="Cambria" w:hAnsi="Cambria" w:cs="Cambria"/>
        </w:rPr>
        <w:t>.</w:t>
      </w:r>
    </w:p>
    <w:p w14:paraId="0000000F" w14:textId="77777777" w:rsidR="004A0841" w:rsidRDefault="00000000">
      <w:pPr>
        <w:spacing w:after="0" w:line="480" w:lineRule="auto"/>
        <w:jc w:val="both"/>
        <w:rPr>
          <w:rFonts w:ascii="Cambria" w:eastAsia="Cambria" w:hAnsi="Cambria" w:cs="Cambria"/>
        </w:rPr>
      </w:pPr>
      <w:r>
        <w:rPr>
          <w:rFonts w:ascii="Cambria" w:eastAsia="Cambria" w:hAnsi="Cambria" w:cs="Cambria"/>
        </w:rPr>
        <w:lastRenderedPageBreak/>
        <w:t>Cada história é resultado de um ocultamento, de uma exclusão, de uma inibição. O historiador é um observador que vê somente aquilo que vê. A sua história é o resultado da seletividade da sua observação. Também o presente é resultado da seletividade a partir da qual ele funciona como presente. É história e, por isso, é resultado do ocultamento. E então ele é também o espaço em que opera a latência estrutural na qual a estética, a percepção sensível da paisagem dos conceitos, é transformada em história.</w:t>
      </w:r>
    </w:p>
    <w:p w14:paraId="00000010" w14:textId="77777777" w:rsidR="004A0841" w:rsidRDefault="00000000">
      <w:pPr>
        <w:spacing w:after="0" w:line="480" w:lineRule="auto"/>
        <w:jc w:val="both"/>
        <w:rPr>
          <w:rFonts w:ascii="Cambria" w:eastAsia="Cambria" w:hAnsi="Cambria" w:cs="Cambria"/>
        </w:rPr>
      </w:pPr>
      <w:r>
        <w:rPr>
          <w:rFonts w:ascii="Cambria" w:eastAsia="Cambria" w:hAnsi="Cambria" w:cs="Cambria"/>
        </w:rPr>
        <w:t>Em meados dos anos 50 dos</w:t>
      </w:r>
      <w:r>
        <w:rPr>
          <w:rFonts w:ascii="Cambria" w:eastAsia="Cambria" w:hAnsi="Cambria" w:cs="Cambria"/>
          <w:b/>
        </w:rPr>
        <w:t xml:space="preserve"> </w:t>
      </w:r>
      <w:r>
        <w:rPr>
          <w:rFonts w:ascii="Cambria" w:eastAsia="Cambria" w:hAnsi="Cambria" w:cs="Cambria"/>
        </w:rPr>
        <w:t xml:space="preserve">Oitocentos, o grande jurista Rudolf von Jehring ocupava-se daquilo a que chamou </w:t>
      </w:r>
      <w:r>
        <w:rPr>
          <w:rFonts w:ascii="Cambria" w:eastAsia="Cambria" w:hAnsi="Cambria" w:cs="Cambria"/>
          <w:i/>
        </w:rPr>
        <w:t>jurisprudência superior</w:t>
      </w:r>
      <w:r>
        <w:rPr>
          <w:rFonts w:ascii="Cambria" w:eastAsia="Cambria" w:hAnsi="Cambria" w:cs="Cambria"/>
        </w:rPr>
        <w:t xml:space="preserve">, aquela jurisprudência em que a elaboração científica e a reflexão jurídica encontram um nível muito elevado de sedimentação conceitual. Ele escreveu um capítulo sobre a “estética do direito” e afirmou também que uma tal </w:t>
      </w:r>
      <w:r>
        <w:rPr>
          <w:rFonts w:ascii="Cambria" w:eastAsia="Cambria" w:hAnsi="Cambria" w:cs="Cambria"/>
          <w:i/>
        </w:rPr>
        <w:t>Jurisprudenz</w:t>
      </w:r>
      <w:r>
        <w:rPr>
          <w:rFonts w:ascii="Cambria" w:eastAsia="Cambria" w:hAnsi="Cambria" w:cs="Cambria"/>
        </w:rPr>
        <w:t xml:space="preserve">, uma tal elaboração filosófico-científica do material jurídico, </w:t>
      </w:r>
      <w:r>
        <w:rPr>
          <w:rFonts w:ascii="Cambria" w:eastAsia="Cambria" w:hAnsi="Cambria" w:cs="Cambria"/>
          <w:i/>
        </w:rPr>
        <w:t>läßt sich nicht mehr durch die Geschichte in Verlegenheit setzen</w:t>
      </w:r>
      <w:r>
        <w:rPr>
          <w:rFonts w:ascii="Cambria" w:eastAsia="Cambria" w:hAnsi="Cambria" w:cs="Cambria"/>
        </w:rPr>
        <w:t xml:space="preserve"> (&lt;já não se deixa pôr em apuros pela história&gt;). Nós pensamos que seja assim porque esse material é já história, é sempre história, porque se apresenta a si próprio como história. </w:t>
      </w:r>
    </w:p>
    <w:p w14:paraId="00000011" w14:textId="77777777" w:rsidR="004A0841" w:rsidRDefault="00000000">
      <w:pPr>
        <w:spacing w:after="0" w:line="480" w:lineRule="auto"/>
        <w:jc w:val="both"/>
        <w:rPr>
          <w:rFonts w:ascii="Cambria" w:eastAsia="Cambria" w:hAnsi="Cambria" w:cs="Cambria"/>
        </w:rPr>
      </w:pPr>
      <w:r>
        <w:rPr>
          <w:rFonts w:ascii="Cambria" w:eastAsia="Cambria" w:hAnsi="Cambria" w:cs="Cambria"/>
        </w:rPr>
        <w:t>Gostaríamos de refletir sobre os dois séculos da Constituição de 1824 observando este presente, a latência estrutural que o torna presente.</w:t>
      </w:r>
    </w:p>
    <w:p w14:paraId="00000012" w14:textId="77777777" w:rsidR="004A0841" w:rsidRDefault="004A0841">
      <w:pPr>
        <w:spacing w:line="480" w:lineRule="auto"/>
        <w:jc w:val="both"/>
        <w:rPr>
          <w:rFonts w:ascii="Cambria" w:eastAsia="Cambria" w:hAnsi="Cambria" w:cs="Cambria"/>
        </w:rPr>
      </w:pPr>
    </w:p>
    <w:p w14:paraId="00000013" w14:textId="77777777" w:rsidR="004A0841" w:rsidRDefault="00000000">
      <w:pPr>
        <w:numPr>
          <w:ilvl w:val="0"/>
          <w:numId w:val="1"/>
        </w:numPr>
        <w:pBdr>
          <w:top w:val="nil"/>
          <w:left w:val="nil"/>
          <w:bottom w:val="nil"/>
          <w:right w:val="nil"/>
          <w:between w:val="nil"/>
        </w:pBdr>
        <w:spacing w:line="480" w:lineRule="auto"/>
        <w:jc w:val="both"/>
        <w:rPr>
          <w:rFonts w:ascii="Cambria" w:eastAsia="Cambria" w:hAnsi="Cambria" w:cs="Cambria"/>
          <w:color w:val="000000"/>
        </w:rPr>
      </w:pPr>
      <w:r>
        <w:rPr>
          <w:rFonts w:ascii="Cambria" w:eastAsia="Cambria" w:hAnsi="Cambria" w:cs="Cambria"/>
          <w:i/>
          <w:color w:val="000000"/>
        </w:rPr>
        <w:t>Duas modernidades</w:t>
      </w:r>
    </w:p>
    <w:p w14:paraId="00000014"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Em 1784, respondendo a uma demanda que uma revista, a </w:t>
      </w:r>
      <w:r>
        <w:rPr>
          <w:rFonts w:ascii="Cambria" w:eastAsia="Cambria" w:hAnsi="Cambria" w:cs="Cambria"/>
          <w:i/>
        </w:rPr>
        <w:t>Berlinische Monatsschrift</w:t>
      </w:r>
      <w:r>
        <w:rPr>
          <w:rFonts w:ascii="Cambria" w:eastAsia="Cambria" w:hAnsi="Cambria" w:cs="Cambria"/>
        </w:rPr>
        <w:t xml:space="preserve">, colocava aos seus leitores, Kant escreveu um pequeno trabalho, justificadamente famoso, cujo título é simplesmente: </w:t>
      </w:r>
      <w:r>
        <w:rPr>
          <w:rFonts w:ascii="Cambria" w:eastAsia="Cambria" w:hAnsi="Cambria" w:cs="Cambria"/>
          <w:i/>
        </w:rPr>
        <w:t>Resposta à pergunta: O que é o Iluminismo?</w:t>
      </w:r>
      <w:r>
        <w:rPr>
          <w:rFonts w:ascii="Cambria" w:eastAsia="Cambria" w:hAnsi="Cambria" w:cs="Cambria"/>
        </w:rPr>
        <w:t>. O texto apresenta uma certa ambiguidade e a partir dos conceitos apresentados foram formuladas muitas interpretações. Utilizaremos algumas das reflexões formuladas por Foucault.</w:t>
      </w:r>
    </w:p>
    <w:p w14:paraId="00000015" w14:textId="77777777" w:rsidR="004A0841" w:rsidRDefault="00000000">
      <w:pPr>
        <w:spacing w:after="0" w:line="480" w:lineRule="auto"/>
        <w:jc w:val="both"/>
        <w:rPr>
          <w:rFonts w:ascii="Cambria" w:eastAsia="Cambria" w:hAnsi="Cambria" w:cs="Cambria"/>
        </w:rPr>
      </w:pPr>
      <w:r>
        <w:rPr>
          <w:rFonts w:ascii="Cambria" w:eastAsia="Cambria" w:hAnsi="Cambria" w:cs="Cambria"/>
        </w:rPr>
        <w:lastRenderedPageBreak/>
        <w:t xml:space="preserve">O Iluminismo é uma </w:t>
      </w:r>
      <w:r>
        <w:rPr>
          <w:rFonts w:ascii="Cambria" w:eastAsia="Cambria" w:hAnsi="Cambria" w:cs="Cambria"/>
          <w:i/>
        </w:rPr>
        <w:t>saída</w:t>
      </w:r>
      <w:r>
        <w:rPr>
          <w:rFonts w:ascii="Cambria" w:eastAsia="Cambria" w:hAnsi="Cambria" w:cs="Cambria"/>
        </w:rPr>
        <w:t xml:space="preserve">, diz Kant. É uma saída do estado de menoridade, é conquista de espaços de exercício da liberdade, aquisição da capacidade de fazer um </w:t>
      </w:r>
      <w:r>
        <w:rPr>
          <w:rFonts w:ascii="Cambria" w:eastAsia="Cambria" w:hAnsi="Cambria" w:cs="Cambria"/>
          <w:i/>
        </w:rPr>
        <w:t>uso público</w:t>
      </w:r>
      <w:r>
        <w:rPr>
          <w:rFonts w:ascii="Cambria" w:eastAsia="Cambria" w:hAnsi="Cambria" w:cs="Cambria"/>
        </w:rPr>
        <w:t xml:space="preserve"> da razão. O iluminismo é o presente que, através da razão, se liberta da cadeia que o mantém preso num estado do não saber de si mesmo. O homem faz um </w:t>
      </w:r>
      <w:r>
        <w:rPr>
          <w:rFonts w:ascii="Cambria" w:eastAsia="Cambria" w:hAnsi="Cambria" w:cs="Cambria"/>
          <w:i/>
        </w:rPr>
        <w:t>uso privado</w:t>
      </w:r>
      <w:r>
        <w:rPr>
          <w:rFonts w:ascii="Cambria" w:eastAsia="Cambria" w:hAnsi="Cambria" w:cs="Cambria"/>
        </w:rPr>
        <w:t xml:space="preserve"> da razão quando age como “elemento de uma máquina”, diz Kant; faz um </w:t>
      </w:r>
      <w:r>
        <w:rPr>
          <w:rFonts w:ascii="Cambria" w:eastAsia="Cambria" w:hAnsi="Cambria" w:cs="Cambria"/>
          <w:i/>
        </w:rPr>
        <w:t>uso público</w:t>
      </w:r>
      <w:r>
        <w:rPr>
          <w:rFonts w:ascii="Cambria" w:eastAsia="Cambria" w:hAnsi="Cambria" w:cs="Cambria"/>
        </w:rPr>
        <w:t xml:space="preserve"> da razão quando usa a razão como um fim em si mesma. O iluminismo é o uso que a humanidade faz da razão sem se submeter a nenhuma autoridade.</w:t>
      </w:r>
    </w:p>
    <w:p w14:paraId="00000016"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Desse modo, a humanidade acede à modernidade. E este acesso é possível através de uma espécie de contrato com o poder: um contrato que Kant representa entre o </w:t>
      </w:r>
      <w:r>
        <w:rPr>
          <w:rFonts w:ascii="Cambria" w:eastAsia="Cambria" w:hAnsi="Cambria" w:cs="Cambria"/>
          <w:i/>
        </w:rPr>
        <w:t>despotismo racional de Frederico II</w:t>
      </w:r>
      <w:r>
        <w:rPr>
          <w:rFonts w:ascii="Cambria" w:eastAsia="Cambria" w:hAnsi="Cambria" w:cs="Cambria"/>
        </w:rPr>
        <w:t xml:space="preserve"> e a </w:t>
      </w:r>
      <w:r>
        <w:rPr>
          <w:rFonts w:ascii="Cambria" w:eastAsia="Cambria" w:hAnsi="Cambria" w:cs="Cambria"/>
          <w:i/>
        </w:rPr>
        <w:t>libera ragione</w:t>
      </w:r>
      <w:r>
        <w:rPr>
          <w:rFonts w:ascii="Cambria" w:eastAsia="Cambria" w:hAnsi="Cambria" w:cs="Cambria"/>
        </w:rPr>
        <w:t xml:space="preserve">. Iluminismo, então, segundo Foucault intérprete de Kant, é uma atitude, um </w:t>
      </w:r>
      <w:r>
        <w:rPr>
          <w:rFonts w:ascii="Cambria" w:eastAsia="Cambria" w:hAnsi="Cambria" w:cs="Cambria"/>
          <w:i/>
        </w:rPr>
        <w:t>éthos</w:t>
      </w:r>
      <w:r>
        <w:rPr>
          <w:rFonts w:ascii="Cambria" w:eastAsia="Cambria" w:hAnsi="Cambria" w:cs="Cambria"/>
        </w:rPr>
        <w:t xml:space="preserve">, uma forma de se colocar em relação às questões do presente, uma forma de reconstituir o presente, uma forma de colocar em discussão a constituição do presente. É o modo como, a partir do uso público da razão, o presente desocultaria a determinação do seu ser história de si mesmo e se prepararia para sair de si mesmo precisamente a partir do uso da razão. Um uso a que Kant chama </w:t>
      </w:r>
      <w:r>
        <w:rPr>
          <w:rFonts w:ascii="Cambria" w:eastAsia="Cambria" w:hAnsi="Cambria" w:cs="Cambria"/>
          <w:i/>
        </w:rPr>
        <w:t>räsonieren</w:t>
      </w:r>
      <w:r>
        <w:rPr>
          <w:rFonts w:ascii="Cambria" w:eastAsia="Cambria" w:hAnsi="Cambria" w:cs="Cambria"/>
        </w:rPr>
        <w:t xml:space="preserve">, recorrendo à raiz latina do termo que em alemão, por sua vez, é </w:t>
      </w:r>
      <w:r>
        <w:rPr>
          <w:rFonts w:ascii="Cambria" w:eastAsia="Cambria" w:hAnsi="Cambria" w:cs="Cambria"/>
          <w:i/>
        </w:rPr>
        <w:t>Vernunft</w:t>
      </w:r>
      <w:r>
        <w:rPr>
          <w:rFonts w:ascii="Cambria" w:eastAsia="Cambria" w:hAnsi="Cambria" w:cs="Cambria"/>
        </w:rPr>
        <w:t>: é o uso da razão crítica, da razão que reflete sobre as condições da sua possibilidade.</w:t>
      </w:r>
    </w:p>
    <w:p w14:paraId="00000017"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modernidade do Iluminismo é a modernidade de um </w:t>
      </w:r>
      <w:r>
        <w:rPr>
          <w:rFonts w:ascii="Cambria" w:eastAsia="Cambria" w:hAnsi="Cambria" w:cs="Cambria"/>
          <w:i/>
        </w:rPr>
        <w:t>movimento político</w:t>
      </w:r>
      <w:r>
        <w:rPr>
          <w:rFonts w:ascii="Cambria" w:eastAsia="Cambria" w:hAnsi="Cambria" w:cs="Cambria"/>
        </w:rPr>
        <w:t xml:space="preserve">. Os pressupostos desse movimento estão fixados na filosofia racionalista, no jusnaturalismo, na ideia da capacidade universal de acesso à razão, na ideia de humanidade, na certeza da centralidade da experiência para o conhecimento, como sustentava Hume; na certeza de que a liberdade política seja a base de todas as outras liberdades, como defendia Rousseau; na necessidade de que a tolerância substituísse o fechamento miserável do preconceito, como havia escrito Voltaire. Na certeza de que a política seja o instrumento para mudar a vida, como afirmavam os </w:t>
      </w:r>
      <w:r>
        <w:rPr>
          <w:rFonts w:ascii="Cambria" w:eastAsia="Cambria" w:hAnsi="Cambria" w:cs="Cambria"/>
          <w:i/>
        </w:rPr>
        <w:t>Philosphes</w:t>
      </w:r>
      <w:r>
        <w:rPr>
          <w:rFonts w:ascii="Cambria" w:eastAsia="Cambria" w:hAnsi="Cambria" w:cs="Cambria"/>
        </w:rPr>
        <w:t xml:space="preserve">; de que o homem se emancipa a partir </w:t>
      </w:r>
      <w:r>
        <w:rPr>
          <w:rFonts w:ascii="Cambria" w:eastAsia="Cambria" w:hAnsi="Cambria" w:cs="Cambria"/>
        </w:rPr>
        <w:lastRenderedPageBreak/>
        <w:t>da razão e afirma o seu direito à felicidade a partir do progresso, como pensava D'Alembert; na certeza de que existe uma estreita conexão entre as paixões do indivíduo e o intelecto, como pensava ainda Rousseau, isto é, entre o sentir, a materialidade do sentido, o querer e o compreender.</w:t>
      </w:r>
    </w:p>
    <w:p w14:paraId="00000018"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Na modernidade iluminista, há o futuro, a ideia de que o presente seja o tempo da diferença, o limite, a saída, como dizia Kant; que a liberdade e a igualdade são o que faz a humanidade dos indivíduos e que as diferenças são elas próprias a forma da igualdade, que o poder faz manifestar a sua legitimidade na racionalidade pública do seu exercício. </w:t>
      </w:r>
    </w:p>
    <w:p w14:paraId="00000019" w14:textId="77777777" w:rsidR="004A0841" w:rsidRDefault="00000000">
      <w:pPr>
        <w:spacing w:after="0" w:line="480" w:lineRule="auto"/>
        <w:jc w:val="both"/>
        <w:rPr>
          <w:rFonts w:ascii="Cambria" w:eastAsia="Cambria" w:hAnsi="Cambria" w:cs="Cambria"/>
        </w:rPr>
      </w:pPr>
      <w:r>
        <w:rPr>
          <w:rFonts w:ascii="Cambria" w:eastAsia="Cambria" w:hAnsi="Cambria" w:cs="Cambria"/>
        </w:rPr>
        <w:t>Este presente não é mais o tempo da ação concebido pela filosofia prática, o tempo da unidade do agir que é mantido firme num feixe de determinações normativas ligadas à necessidade, ao ser, ao passado. É o tempo da contingência, da diferenciação da ação: é o tempo do agir que se expõe à escolha, à alternativa, à incerteza e que é protegido só pela racionalidade das expectativas orientadas às instituições, que reduzem a complexidade das suas escolhas.</w:t>
      </w:r>
    </w:p>
    <w:p w14:paraId="0000001A"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Esta modernidade política se apresenta já na </w:t>
      </w:r>
      <w:r>
        <w:rPr>
          <w:rFonts w:ascii="Cambria" w:eastAsia="Cambria" w:hAnsi="Cambria" w:cs="Cambria"/>
          <w:i/>
        </w:rPr>
        <w:t>Grande Revolução Inglesa</w:t>
      </w:r>
      <w:r>
        <w:rPr>
          <w:rFonts w:ascii="Cambria" w:eastAsia="Cambria" w:hAnsi="Cambria" w:cs="Cambria"/>
        </w:rPr>
        <w:t>, no final do século XVII; afirma-se ao longo do século XVIII, orientando as duas grandes declarações de direitos e as duas grandes revoluções que encerram esse século.</w:t>
      </w:r>
    </w:p>
    <w:p w14:paraId="0000001B"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No verão de 1774, precisamente no clima quente entre esses grandes acontecimentos, Johann Gottfried Herder, outrora discípulo de Kant, publica um trabalho, </w:t>
      </w:r>
      <w:r>
        <w:rPr>
          <w:rFonts w:ascii="Cambria" w:eastAsia="Cambria" w:hAnsi="Cambria" w:cs="Cambria"/>
          <w:i/>
        </w:rPr>
        <w:t>Auch eine Philosophie der Geschichte zur Bldung der Menschheit</w:t>
      </w:r>
      <w:r>
        <w:rPr>
          <w:rFonts w:ascii="Cambria" w:eastAsia="Cambria" w:hAnsi="Cambria" w:cs="Cambria"/>
        </w:rPr>
        <w:t xml:space="preserve"> (&lt;Ainda uma filosofia da história para a formação da humanidade&gt;). Numa linguagem violenta e grosseira, Herder ataca com desprezo a cultura e o pensamento filosófico que haviam conduzido a esses grandes acontecimentos; ataca a modernidade dos valores universais, a ideia de razão universal e a individualidade do particular; ele reafirma a ideia de uma razão comunitária, situada na tradição. Para Herder, o particular é determinado pelas suas origens, é limitado pelas </w:t>
      </w:r>
      <w:r>
        <w:rPr>
          <w:rFonts w:ascii="Cambria" w:eastAsia="Cambria" w:hAnsi="Cambria" w:cs="Cambria"/>
        </w:rPr>
        <w:lastRenderedPageBreak/>
        <w:t xml:space="preserve">experiências originárias da sua família, é ligado ao </w:t>
      </w:r>
      <w:r>
        <w:rPr>
          <w:rFonts w:ascii="Cambria" w:eastAsia="Cambria" w:hAnsi="Cambria" w:cs="Cambria"/>
          <w:i/>
        </w:rPr>
        <w:t>torrão de terra</w:t>
      </w:r>
      <w:r>
        <w:rPr>
          <w:rFonts w:ascii="Cambria" w:eastAsia="Cambria" w:hAnsi="Cambria" w:cs="Cambria"/>
        </w:rPr>
        <w:t xml:space="preserve"> (</w:t>
      </w:r>
      <w:r>
        <w:rPr>
          <w:rFonts w:ascii="Cambria" w:eastAsia="Cambria" w:hAnsi="Cambria" w:cs="Cambria"/>
          <w:i/>
        </w:rPr>
        <w:t>Erdscholle</w:t>
      </w:r>
      <w:r>
        <w:rPr>
          <w:rFonts w:ascii="Cambria" w:eastAsia="Cambria" w:hAnsi="Cambria" w:cs="Cambria"/>
        </w:rPr>
        <w:t>, diz ele) onde nasceram os seus antepassados, à história, à língua, à cultura daquela terra. Ele ataca com considerável vulgaridade Descartes, Montesquieu, e depois Hume, Fergusson. Considera o seu pensamento como ameaça, com perversão e como manifestação da decadência da cultura e da civilização cristãs, da perversão dos costumes, da destruição do presente.</w:t>
      </w:r>
    </w:p>
    <w:p w14:paraId="0000001C"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Alguns anos depois, quando a </w:t>
      </w:r>
      <w:r>
        <w:rPr>
          <w:rFonts w:ascii="Cambria" w:eastAsia="Cambria" w:hAnsi="Cambria" w:cs="Cambria"/>
          <w:i/>
        </w:rPr>
        <w:t>declaração de direitos</w:t>
      </w:r>
      <w:r>
        <w:rPr>
          <w:rFonts w:ascii="Cambria" w:eastAsia="Cambria" w:hAnsi="Cambria" w:cs="Cambria"/>
        </w:rPr>
        <w:t xml:space="preserve"> haviam aberto o espaço do futuro para a política e para o direito, um político inglês, Edmund Burke, escreveu as suas </w:t>
      </w:r>
      <w:r>
        <w:rPr>
          <w:rFonts w:ascii="Cambria" w:eastAsia="Cambria" w:hAnsi="Cambria" w:cs="Cambria"/>
          <w:i/>
        </w:rPr>
        <w:t>Reflexões sobre a Revolução Francesa</w:t>
      </w:r>
      <w:r>
        <w:rPr>
          <w:rFonts w:ascii="Cambria" w:eastAsia="Cambria" w:hAnsi="Cambria" w:cs="Cambria"/>
        </w:rPr>
        <w:t xml:space="preserve">, nas quais reduzia a relevância dos acontecimentos americanos, reconduzindo-os ao espaço da Gloriosa Revolução Inglesa do final do século anterior, e tratava o Iluminismo como um movimento de conspiração intelectual que pretendia destruir a civilização cristã e a ordem social e política que esta havia criado. Nas palavras de Burke, os direitos dos homens são uma quimera, uma revolta contra a civilização cristã. À perversão da razão universal, deveria-se substituir a história, a tradição. O costume dos povos. Também Herder, de sua parte, havia escrito que os povos não se devem deixar contaminar pelos estrangeiros: devem extrair dos estrangeiros aquilo de que precisam e depois mantê-los à distância. </w:t>
      </w:r>
    </w:p>
    <w:p w14:paraId="0000001D" w14:textId="77777777" w:rsidR="004A0841" w:rsidRDefault="00000000">
      <w:pPr>
        <w:spacing w:after="0" w:line="480" w:lineRule="auto"/>
        <w:jc w:val="both"/>
        <w:rPr>
          <w:rFonts w:ascii="Cambria" w:eastAsia="Cambria" w:hAnsi="Cambria" w:cs="Cambria"/>
        </w:rPr>
      </w:pPr>
      <w:r>
        <w:rPr>
          <w:rFonts w:ascii="Cambria" w:eastAsia="Cambria" w:hAnsi="Cambria" w:cs="Cambria"/>
        </w:rPr>
        <w:t>Burke sustentava que a Inglaterra devia intervir para travar a revolta contra o sacro, revolta essa que era praticada pela Revolução Francesa. Zeev Sternhell, que dedicou páginas de grande interesse a esse assunto, defende que é assim que começa a guerra ideológica.</w:t>
      </w:r>
    </w:p>
    <w:p w14:paraId="0000001E"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Interessa-nos aqui sublinhar o fato de, ainda antes do final do século XVIII, delinear-se e afirmar-se, de forma cada vez mais decisiva e radical, uma guerra contra a ideia de modernidade, de civilização e de futuro condensada nas grandes declarações de direitos. Nietzsche utilizará o termo </w:t>
      </w:r>
      <w:r>
        <w:rPr>
          <w:rFonts w:ascii="Cambria" w:eastAsia="Cambria" w:hAnsi="Cambria" w:cs="Cambria"/>
          <w:i/>
        </w:rPr>
        <w:t>Gegen-Aufklärung</w:t>
      </w:r>
      <w:r>
        <w:rPr>
          <w:rFonts w:ascii="Cambria" w:eastAsia="Cambria" w:hAnsi="Cambria" w:cs="Cambria"/>
        </w:rPr>
        <w:t xml:space="preserve">, contra-iluminismo, e irá se referir a </w:t>
      </w:r>
      <w:r>
        <w:rPr>
          <w:rFonts w:ascii="Cambria" w:eastAsia="Cambria" w:hAnsi="Cambria" w:cs="Cambria"/>
        </w:rPr>
        <w:lastRenderedPageBreak/>
        <w:t xml:space="preserve">Schpenhauer e Wagner. Trata-se de uma guerra que nos dois séculos subsequentes terá seguimento a partir de perspectivas diferentes de pensamento, e que será encarnada no historicismo, no idealismo, nas teorias das culturas e na miséria das teorias raciais. Terá manifestações mais refinadas ou mais vulgares, adquirirá os contornos do liberalismo e do individualismo, do comunitarismo, do fascismo e de outras tragédias da razão. Depois da primeira geração de contra-iluministas, virá uma segunda, aquela de Carlyle, Taine, Renan; depois haverá o historicismo, Meinecke, Troetsch. Na Itália, haverá Benedetto Croce, o grande liberal que não hesitou em olhar com benevolência para o fascismo. A última geração do contra-iluministas é aquela que obscurece o nosso presente e que encontra expressão em obras desconcertantes e alucinantes como a de Dirk Land, que não por acaso se intitula </w:t>
      </w:r>
      <w:r>
        <w:rPr>
          <w:rFonts w:ascii="Cambria" w:eastAsia="Cambria" w:hAnsi="Cambria" w:cs="Cambria"/>
          <w:i/>
        </w:rPr>
        <w:t>Dark Enlightenment</w:t>
      </w:r>
      <w:r>
        <w:rPr>
          <w:rFonts w:ascii="Cambria" w:eastAsia="Cambria" w:hAnsi="Cambria" w:cs="Cambria"/>
        </w:rPr>
        <w:t>.</w:t>
      </w:r>
    </w:p>
    <w:p w14:paraId="0000001F" w14:textId="77777777" w:rsidR="004A0841" w:rsidRDefault="00000000">
      <w:pPr>
        <w:spacing w:after="0" w:line="480" w:lineRule="auto"/>
        <w:jc w:val="both"/>
        <w:rPr>
          <w:rFonts w:ascii="Cambria" w:eastAsia="Cambria" w:hAnsi="Cambria" w:cs="Cambria"/>
        </w:rPr>
      </w:pPr>
      <w:r>
        <w:rPr>
          <w:rFonts w:ascii="Cambria" w:eastAsia="Cambria" w:hAnsi="Cambria" w:cs="Cambria"/>
        </w:rPr>
        <w:t>Nas diferenças que caracterizam tais manifestações do pensamento ocidental, há uma coerência, uma linearidade que, no nosso presente, condensa-se e se oculta de modo desconcertante: é a coerência de um ataque contra a civilização do iluminismo, realizado como desenho de uma outra modernidade. Não há apenas a continuidade do passado na celebração dos costumes, das culturas, da história. Há o projeto de uma civilização de comunidades orgânicas, a ideia de uma unidade do agir realizada já não pela antiga filosofia prática, mas pela organicidade das identidades étnico-linguístico-territoriais que agora se chamam nações e são materializadas na organicidade do Estado. Há a guerra contra a ideia de humanidade, contra a universalização da razão. Há a guerra contra o jusnaturalismo, contra os direitos humanos, contra aquela perversão da soberania chamada sufrágio universal.</w:t>
      </w:r>
    </w:p>
    <w:p w14:paraId="00000020"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O grande teórico do liberalismo italiano, Benedetto Croce, em 1947, respondendo a um questionário aplicado pela UNESCO, afirmava que as </w:t>
      </w:r>
      <w:r>
        <w:rPr>
          <w:rFonts w:ascii="Cambria" w:eastAsia="Cambria" w:hAnsi="Cambria" w:cs="Cambria"/>
          <w:i/>
        </w:rPr>
        <w:t>declarações de direitos do homem</w:t>
      </w:r>
      <w:r>
        <w:rPr>
          <w:rFonts w:ascii="Cambria" w:eastAsia="Cambria" w:hAnsi="Cambria" w:cs="Cambria"/>
        </w:rPr>
        <w:t xml:space="preserve"> são fundadas numa teoria, aquela de um direito natural, que é “filosófica e historicamente </w:t>
      </w:r>
      <w:r>
        <w:rPr>
          <w:rFonts w:ascii="Cambria" w:eastAsia="Cambria" w:hAnsi="Cambria" w:cs="Cambria"/>
        </w:rPr>
        <w:lastRenderedPageBreak/>
        <w:t>insustentável”. E escreveu que “se à lei natural fosse permitido fazer o que ela anuncia [...], ver-se-ia, com a formação e a aplicação do seu código eterno, parar subitamente o Desenvolvimento, ver-se-ia concluir a História, morrer a Vida e a Realidade se desfazer”.</w:t>
      </w:r>
    </w:p>
    <w:p w14:paraId="00000021"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Croce, coerentemente, reduz o direito à economia, enquanto os neo-comunitaristas pretendem substituir o declínio da civilização ocidental pela velha herança medieval.   </w:t>
      </w:r>
    </w:p>
    <w:p w14:paraId="00000022" w14:textId="77777777" w:rsidR="004A0841" w:rsidRDefault="00000000">
      <w:pPr>
        <w:spacing w:after="0" w:line="480" w:lineRule="auto"/>
        <w:jc w:val="both"/>
        <w:rPr>
          <w:rFonts w:ascii="Cambria" w:eastAsia="Cambria" w:hAnsi="Cambria" w:cs="Cambria"/>
        </w:rPr>
      </w:pPr>
      <w:r>
        <w:rPr>
          <w:rFonts w:ascii="Cambria" w:eastAsia="Cambria" w:hAnsi="Cambria" w:cs="Cambria"/>
        </w:rPr>
        <w:t>Contra a igualdade, contra a democracia, que não é outro senão manifestação da decadência do Ocidente. Esta ideia de decadência do Ocidente segue uma linha político-filosófico-religiosa coerente que, a partir de Herder, pe</w:t>
      </w:r>
      <w:r>
        <w:rPr>
          <w:rFonts w:ascii="Cambria" w:eastAsia="Cambria" w:hAnsi="Cambria" w:cs="Cambria"/>
        </w:rPr>
        <w:tab/>
        <w:t>netra no século XIX e atinge o seu ápice no início do século seguinte com a obra de Spengler, difundida com entusiasmo por Evola, o filósofo do fascismo, e é atualizada com força por Alexander Dugin, o ídolo filosófico russo, de formação nacional-bolchevique e amigo de um brasileiro com quem mantinha longas conversas, Olavo Luiz Pimentel de Carvalho.</w:t>
      </w:r>
    </w:p>
    <w:p w14:paraId="00000023" w14:textId="77777777" w:rsidR="004A0841" w:rsidRDefault="00000000">
      <w:pPr>
        <w:spacing w:line="480" w:lineRule="auto"/>
        <w:jc w:val="both"/>
        <w:rPr>
          <w:rFonts w:ascii="Cambria" w:eastAsia="Cambria" w:hAnsi="Cambria" w:cs="Cambria"/>
        </w:rPr>
      </w:pPr>
      <w:r>
        <w:rPr>
          <w:rFonts w:ascii="Cambria" w:eastAsia="Cambria" w:hAnsi="Cambria" w:cs="Cambria"/>
        </w:rPr>
        <w:t xml:space="preserve"> </w:t>
      </w:r>
    </w:p>
    <w:p w14:paraId="00000024" w14:textId="77777777" w:rsidR="004A0841" w:rsidRDefault="00000000">
      <w:pPr>
        <w:numPr>
          <w:ilvl w:val="0"/>
          <w:numId w:val="1"/>
        </w:numPr>
        <w:pBdr>
          <w:top w:val="nil"/>
          <w:left w:val="nil"/>
          <w:bottom w:val="nil"/>
          <w:right w:val="nil"/>
          <w:between w:val="nil"/>
        </w:pBdr>
        <w:spacing w:line="480" w:lineRule="auto"/>
        <w:jc w:val="both"/>
        <w:rPr>
          <w:rFonts w:ascii="Cambria" w:eastAsia="Cambria" w:hAnsi="Cambria" w:cs="Cambria"/>
          <w:color w:val="000000"/>
        </w:rPr>
      </w:pPr>
      <w:r>
        <w:rPr>
          <w:rFonts w:ascii="Cambria" w:eastAsia="Cambria" w:hAnsi="Cambria" w:cs="Cambria"/>
          <w:i/>
          <w:color w:val="000000"/>
        </w:rPr>
        <w:t>A constituição da sociedade</w:t>
      </w:r>
    </w:p>
    <w:p w14:paraId="00000025"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O constitucionalismo que informa a Constituição de 1824 no Brasil é inspirado naquele pensamento ocidental que é sensível aos argumentos de Burke e dos seus admiradores: eram posições que inicialmente vinham consideradas moderadas ou, como se dizia, liberais, mas que haviam fornecido material conceitual que alimentaria o pensamento da Restauração até ao </w:t>
      </w:r>
      <w:r>
        <w:rPr>
          <w:rFonts w:ascii="Cambria" w:eastAsia="Cambria" w:hAnsi="Cambria" w:cs="Cambria"/>
          <w:i/>
        </w:rPr>
        <w:t>neoconservadorismo</w:t>
      </w:r>
      <w:r>
        <w:rPr>
          <w:rFonts w:ascii="Cambria" w:eastAsia="Cambria" w:hAnsi="Cambria" w:cs="Cambria"/>
        </w:rPr>
        <w:t xml:space="preserve"> moderno. Trata-se de um liberalismo que forneceu os pressupostos da modernidade para a organização de um Estado patrimonialista-burocrático preocupado em estabilizar uma economia da estratificação, da diferença, da escravatura, do privilégio militar-burocrático.</w:t>
      </w:r>
    </w:p>
    <w:p w14:paraId="00000026"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contra-modernidade individualista-patrimonial, nos seus princípios, era plenamente compatível com uma economia de exploração intensiva da força de trabalho, da produção </w:t>
      </w:r>
      <w:r>
        <w:rPr>
          <w:rFonts w:ascii="Cambria" w:eastAsia="Cambria" w:hAnsi="Cambria" w:cs="Cambria"/>
        </w:rPr>
        <w:lastRenderedPageBreak/>
        <w:t>agrícola, da indústria extrativista, do latifúndio, do arrendamento, e da estratificação em que assentava. Nesse sentido, a constituição age como mecanismo de estabilização evolutiva da estrutura social pela conservação da estratificação e da universalidade dos princípios. Os princípios tornam possível a inclusão a partir das fórmulas habituais de universalização seletiva e a partir da exclusão pelo não-dizer, pelo não-nomear, pelo não-saber. Este constitucionalismo paternalista-patrimonialista não proclama a escravatura: sequer a nomeia. Coloca-a no universo do não-dito: universo do não-ser que faz dela uma questão de direito penal, não certamente de direito civil.</w:t>
      </w:r>
    </w:p>
    <w:p w14:paraId="00000027"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Do lado europeu, o Velho Continente havia sido o teatro de grandes acontecimentos e aqui, no Brasil, o sistema político precisava de se auto-identificar, de se determinar, de alcançar autodeterminação a partir de uma vontade constituinte que reformulasse a compatibilidade do sistema político da sociedade com a economia da sociedade. Esta compatibilidade devia ser articulada com um complexo regulador reconhecível que somente podia ser de tipo burocrático-administrativo. A questão era: determinar os limites da compatibilidade do sistema político da sociedade com a economia e os antigos privilégios, controlar a contingência das pressões político-patrimoniais, controlar a complexidade das expectativas de inclusão: em outros termos, tornar acessível às decisões políticas e jurídicas a complexidade social de uma sociedade em que a centralidade era ocupada pelo sistema da economia.   </w:t>
      </w:r>
    </w:p>
    <w:p w14:paraId="00000028"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cultura contra-iluminista oferecia grandes recursos semânticos para a formulação de textos constitucionais em que se condensava a representação jurídico-política da prevalente forma de diferenciação social, mas a sua estratificação era contemporânea de regiões da sociedade em que a especificação funcional dos sistemas sociais estava muito mais desenvolvida e em que a economia das finanças, a industrialização, a escolarização, bem como o acesso aos bens sociais e a circulação de bens materiais estavam muito mais </w:t>
      </w:r>
      <w:r>
        <w:rPr>
          <w:rFonts w:ascii="Cambria" w:eastAsia="Cambria" w:hAnsi="Cambria" w:cs="Cambria"/>
        </w:rPr>
        <w:lastRenderedPageBreak/>
        <w:t xml:space="preserve">desenvolvidos. Assim como a formação da opinião pública, o acesso ao conhecimento e a consequente difusão da semântica da autodescrição da sociedade estavam já largamente estabilizados. Esta </w:t>
      </w:r>
      <w:r>
        <w:rPr>
          <w:rFonts w:ascii="Cambria" w:eastAsia="Cambria" w:hAnsi="Cambria" w:cs="Cambria"/>
          <w:i/>
        </w:rPr>
        <w:t>contemporaneidade do não-contemporâneo</w:t>
      </w:r>
      <w:r>
        <w:rPr>
          <w:rFonts w:ascii="Cambria" w:eastAsia="Cambria" w:hAnsi="Cambria" w:cs="Cambria"/>
        </w:rPr>
        <w:t xml:space="preserve"> reflete-se também nas formulações das outras constituições brasileiras: sempre o desenvolvimento das constituições levará impressa em si a conexão entre a estrutura da diferenciação da sociedade e a semântica constitucional. E essa conexão trará impressa a reelaboração conceitual e funcional da contemporaneidade do não-contemporâneo. Haverá pensamento europeu na sua reelaboração e na sua adaptação às pressões que foram exercidas pelas latências estruturais da sociedade brasileira. E a razão é a seguinte.</w:t>
      </w:r>
    </w:p>
    <w:p w14:paraId="00000029"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As constituições não são complexos de normas superiores que regulam o comportamento: são dispositivos de regulação das relações entre o sistema político e o seu ambiente interno da sociedade. Tanto nas sociedades mediterrâneas antigas, diz Luhmann, quanto na moderna sociedade burguesa, às transformações evolutivas da estrutura social, mas em particular da economia, o sistema político responde com </w:t>
      </w:r>
      <w:r>
        <w:rPr>
          <w:rFonts w:ascii="Cambria" w:eastAsia="Cambria" w:hAnsi="Cambria" w:cs="Cambria"/>
          <w:i/>
        </w:rPr>
        <w:t>Constituições</w:t>
      </w:r>
      <w:r>
        <w:rPr>
          <w:rFonts w:ascii="Cambria" w:eastAsia="Cambria" w:hAnsi="Cambria" w:cs="Cambria"/>
        </w:rPr>
        <w:t>, isto é, com a produção de contextos de sentido jurídico-político que transformam a complexidade social em possibilidades decisionais de natureza política e jurídica.</w:t>
      </w:r>
    </w:p>
    <w:p w14:paraId="0000002A"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forma das constituições modernas evolui no sentido da aquisição de conexões de sentido universal que evocam o teor das formulações iluministas e as expectativas de universalidade que lhes estavam associadas. Este percurso evolutivo, na realidade, tem a ver com a transformação da diferenciação social, que, em consequência da especificação funcional, exige a inclusão universal de todos nos sistemas sociais particulares. A inclusão não garante nada, naturalmente, senão a substituição das antigas formas de seletividade social por novas formas de seletividade específicas de cada sistema social. A conexão entre a diferenciação e a forma constitucional da compatibilidade do sistema político com </w:t>
      </w:r>
      <w:r>
        <w:rPr>
          <w:rFonts w:ascii="Cambria" w:eastAsia="Cambria" w:hAnsi="Cambria" w:cs="Cambria"/>
        </w:rPr>
        <w:lastRenderedPageBreak/>
        <w:t>o direito e a economia impõe à semântica constitucional a necessidade da aquisição de um nível de abstração cada vez mais elevado. Afinal, a indiferença da política em relação às ações dos indivíduos e às consequências da seletividade dos sistemas sociais particulares deve ser cada vez maior. A forma constitucional é, então, compatível com contemporaneidades não contemporâneas da diferenciação, seja dentro da mesma ordem constitucional, seja entre ordens constitucionais diferentes.</w:t>
      </w:r>
    </w:p>
    <w:p w14:paraId="0000002B"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Aquilo que não se pode frear é a difusão das semânticas constitucionais. As quais se universalizam, circulam como o espírito do tempo, e quanto maior é a sua universalização, tanto mais relevante é a determinação político-jurídica da sua materialização. Até alcançar o paradoxo de uma ordem constitucional vigente, de um ordenamento político-jurídico vigente e de um </w:t>
      </w:r>
      <w:r>
        <w:rPr>
          <w:rFonts w:ascii="Cambria" w:eastAsia="Cambria" w:hAnsi="Cambria" w:cs="Cambria"/>
          <w:i/>
        </w:rPr>
        <w:t>estado de coisas inconstitucionais</w:t>
      </w:r>
      <w:r>
        <w:rPr>
          <w:rFonts w:ascii="Cambria" w:eastAsia="Cambria" w:hAnsi="Cambria" w:cs="Cambria"/>
        </w:rPr>
        <w:t xml:space="preserve"> declarado e, por isso, também vigente.</w:t>
      </w:r>
    </w:p>
    <w:p w14:paraId="0000002C"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Isto significa que, quanto mais elevada for a configuração iluminista da semântica conceitual das constituições, tanto mais o seu vínculo com a diferenciação abre o espaço à legitimação de práticas jurídico-políticas de natureza contra-iluminista. A Itália, a Europa e os Estados Unidos de hoje são exemplos claros disso. Não é o caso de recordar aquilo que acontece nas autocracias competitivas ou nas democracias </w:t>
      </w:r>
      <w:r>
        <w:rPr>
          <w:rFonts w:ascii="Cambria" w:eastAsia="Cambria" w:hAnsi="Cambria" w:cs="Cambria"/>
          <w:i/>
        </w:rPr>
        <w:t>hereditárias</w:t>
      </w:r>
      <w:r>
        <w:rPr>
          <w:rFonts w:ascii="Cambria" w:eastAsia="Cambria" w:hAnsi="Cambria" w:cs="Cambria"/>
        </w:rPr>
        <w:t xml:space="preserve">. Uma prática que, na nossa atualidade, é sempre mais difundida, esta das democracias hereditárias. Na sua </w:t>
      </w:r>
      <w:r>
        <w:rPr>
          <w:rFonts w:ascii="Cambria" w:eastAsia="Cambria" w:hAnsi="Cambria" w:cs="Cambria"/>
          <w:i/>
        </w:rPr>
        <w:t>Crítica da filosofia hegeliana do direito público</w:t>
      </w:r>
      <w:r>
        <w:rPr>
          <w:rFonts w:ascii="Cambria" w:eastAsia="Cambria" w:hAnsi="Cambria" w:cs="Cambria"/>
        </w:rPr>
        <w:t xml:space="preserve">, Marx utilizou oportunamente o conceito de </w:t>
      </w:r>
      <w:r>
        <w:rPr>
          <w:rFonts w:ascii="Cambria" w:eastAsia="Cambria" w:hAnsi="Cambria" w:cs="Cambria"/>
          <w:i/>
        </w:rPr>
        <w:t>zoologia política</w:t>
      </w:r>
      <w:r>
        <w:rPr>
          <w:rFonts w:ascii="Cambria" w:eastAsia="Cambria" w:hAnsi="Cambria" w:cs="Cambria"/>
        </w:rPr>
        <w:t>. Lá, a herança passava de pai para filho, agora, a herança democrática é auto-reflexiva, vai de si para si mesma.</w:t>
      </w:r>
    </w:p>
    <w:p w14:paraId="0000002D" w14:textId="77777777" w:rsidR="004A0841" w:rsidRDefault="00000000">
      <w:pPr>
        <w:spacing w:after="0" w:line="480" w:lineRule="auto"/>
        <w:jc w:val="both"/>
        <w:rPr>
          <w:rFonts w:ascii="Cambria" w:eastAsia="Cambria" w:hAnsi="Cambria" w:cs="Cambria"/>
        </w:rPr>
      </w:pPr>
      <w:r>
        <w:rPr>
          <w:rFonts w:ascii="Cambria" w:eastAsia="Cambria" w:hAnsi="Cambria" w:cs="Cambria"/>
        </w:rPr>
        <w:t>Mas o conteúdo das constituições está naquilo que elas pretendem excluir, não naquilo que elas incluem. O espaço de compatibilidade do sistema político pode ser alargado em relação às contingências e à perceção política das mesmas contingências. O velho Marshall dizia que a cidadania é uma “arquitetura da desigualdade”.</w:t>
      </w:r>
    </w:p>
    <w:p w14:paraId="0000002E" w14:textId="77777777" w:rsidR="004A0841" w:rsidRDefault="00000000">
      <w:pPr>
        <w:spacing w:after="0" w:line="480" w:lineRule="auto"/>
        <w:jc w:val="both"/>
        <w:rPr>
          <w:rFonts w:ascii="Cambria" w:eastAsia="Cambria" w:hAnsi="Cambria" w:cs="Cambria"/>
        </w:rPr>
      </w:pPr>
      <w:r>
        <w:rPr>
          <w:rFonts w:ascii="Cambria" w:eastAsia="Cambria" w:hAnsi="Cambria" w:cs="Cambria"/>
        </w:rPr>
        <w:lastRenderedPageBreak/>
        <w:t xml:space="preserve">Por isso, o Estado constitucional moderno atingiu um elevado nível de abstração e, portanto, de compatibilidade jurídico-política com aquilo a que Marx, há quase dois séculos, chamou de condições materiais de existência ou de relações econômico-sociais ou, em outros termos, como nós chamamos: a forma de seletividade do sistema da economia e a forma da sua resistência aos limites internos do seu ambiente. Lá onde se encontra o limite no qual este sistema mantém à distância tanto o direito quanto a política. É precisamente aqui, ao longo destes limites, que se realiza a convergência das </w:t>
      </w:r>
      <w:r>
        <w:rPr>
          <w:rFonts w:ascii="Cambria" w:eastAsia="Cambria" w:hAnsi="Cambria" w:cs="Cambria"/>
          <w:i/>
        </w:rPr>
        <w:t>prestações de negação</w:t>
      </w:r>
      <w:r>
        <w:rPr>
          <w:rFonts w:ascii="Cambria" w:eastAsia="Cambria" w:hAnsi="Cambria" w:cs="Cambria"/>
        </w:rPr>
        <w:t xml:space="preserve"> em que consiste o conteúdo de sentido das constituições.</w:t>
      </w:r>
    </w:p>
    <w:p w14:paraId="0000002F"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evolução das constituições para níveis cada vez mais elevados de inclusão, isto é, de abstração universalizante, torna flexível a compatibilidade entre sistemas nas suas fronteiras, reduz as resistências e oculta a latência funcional que caracteriza de modo específico sociedades como a brasileira. </w:t>
      </w:r>
    </w:p>
    <w:p w14:paraId="00000030"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E então: se até o momento tratamos da </w:t>
      </w:r>
      <w:r>
        <w:rPr>
          <w:rFonts w:ascii="Cambria" w:eastAsia="Cambria" w:hAnsi="Cambria" w:cs="Cambria"/>
          <w:i/>
        </w:rPr>
        <w:t>Constituição da sociedade</w:t>
      </w:r>
      <w:r>
        <w:rPr>
          <w:rFonts w:ascii="Cambria" w:eastAsia="Cambria" w:hAnsi="Cambria" w:cs="Cambria"/>
        </w:rPr>
        <w:t xml:space="preserve">, devemos agora ocuparmo-nos brevemente da </w:t>
      </w:r>
      <w:r>
        <w:rPr>
          <w:rFonts w:ascii="Cambria" w:eastAsia="Cambria" w:hAnsi="Cambria" w:cs="Cambria"/>
          <w:i/>
        </w:rPr>
        <w:t>sociedade da Constituição</w:t>
      </w:r>
      <w:r>
        <w:rPr>
          <w:rFonts w:ascii="Cambria" w:eastAsia="Cambria" w:hAnsi="Cambria" w:cs="Cambria"/>
        </w:rPr>
        <w:t xml:space="preserve"> e da sua memória.</w:t>
      </w:r>
    </w:p>
    <w:p w14:paraId="00000031" w14:textId="77777777" w:rsidR="004A0841" w:rsidRDefault="004A0841">
      <w:pPr>
        <w:spacing w:after="0" w:line="480" w:lineRule="auto"/>
        <w:jc w:val="both"/>
        <w:rPr>
          <w:rFonts w:ascii="Cambria" w:eastAsia="Cambria" w:hAnsi="Cambria" w:cs="Cambria"/>
        </w:rPr>
      </w:pPr>
    </w:p>
    <w:p w14:paraId="00000032" w14:textId="77777777" w:rsidR="004A0841" w:rsidRDefault="00000000">
      <w:pPr>
        <w:spacing w:after="0" w:line="480" w:lineRule="auto"/>
        <w:jc w:val="both"/>
        <w:rPr>
          <w:rFonts w:ascii="Cambria" w:eastAsia="Cambria" w:hAnsi="Cambria" w:cs="Cambria"/>
        </w:rPr>
      </w:pPr>
      <w:r>
        <w:rPr>
          <w:rFonts w:ascii="Cambria" w:eastAsia="Cambria" w:hAnsi="Cambria" w:cs="Cambria"/>
          <w:i/>
        </w:rPr>
        <w:t>4.</w:t>
      </w:r>
      <w:r>
        <w:rPr>
          <w:rFonts w:ascii="Cambria" w:eastAsia="Cambria" w:hAnsi="Cambria" w:cs="Cambria"/>
        </w:rPr>
        <w:tab/>
      </w:r>
      <w:r>
        <w:rPr>
          <w:rFonts w:ascii="Cambria" w:eastAsia="Cambria" w:hAnsi="Cambria" w:cs="Cambria"/>
          <w:i/>
        </w:rPr>
        <w:t>A sociedade da Constituição.</w:t>
      </w:r>
    </w:p>
    <w:p w14:paraId="00000033"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No Brasil, mas em toda a América Latina, estabilizaram-se formas de diferenciação social de tipo estratificado; consolidaram-se sobre formas de diferenciação de tipo segmentário, de caráter étnico e tribal, as quais por sua vez opuseram resistência durante séculos até serem destruídas ou mesmo absorvidas. Em ambos os casos, a memória da sociedade carregará traços dessas formas de resistência: aqui, a razão colonial europeia é integrada na razão colonial da colônia e esta </w:t>
      </w:r>
      <w:r>
        <w:rPr>
          <w:rFonts w:ascii="Cambria" w:eastAsia="Cambria" w:hAnsi="Cambria" w:cs="Cambria"/>
          <w:i/>
        </w:rPr>
        <w:t>fusão por incorporação</w:t>
      </w:r>
      <w:r>
        <w:rPr>
          <w:rFonts w:ascii="Cambria" w:eastAsia="Cambria" w:hAnsi="Cambria" w:cs="Cambria"/>
        </w:rPr>
        <w:t xml:space="preserve"> imprimirá características particulares à evolução social e à forma da diferenciação que no futuro surgirá a partir dessas premissas.</w:t>
      </w:r>
    </w:p>
    <w:p w14:paraId="00000034" w14:textId="77777777" w:rsidR="004A0841" w:rsidRDefault="00000000">
      <w:pPr>
        <w:spacing w:after="0" w:line="480" w:lineRule="auto"/>
        <w:jc w:val="both"/>
        <w:rPr>
          <w:rFonts w:ascii="Cambria" w:eastAsia="Cambria" w:hAnsi="Cambria" w:cs="Cambria"/>
        </w:rPr>
      </w:pPr>
      <w:r>
        <w:rPr>
          <w:rFonts w:ascii="Cambria" w:eastAsia="Cambria" w:hAnsi="Cambria" w:cs="Cambria"/>
        </w:rPr>
        <w:lastRenderedPageBreak/>
        <w:t>Em primeiro lugar, a comunicação social será limitada a uma esfera muito reduzida da população de origem europeia; a expansão da comunicação levará séculos e não será generalizada; grandíssima parte das numerosas populações permanecerá até hoje no ambiente da sociedade, sendo também excluída do espaço de exclusão social que a estratificação incluía no ambiente interno dos sistemas sociais.</w:t>
      </w:r>
    </w:p>
    <w:p w14:paraId="00000035"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economia poderá especificar-se como sistema social diferenciado somente quando a política tiver conseguido libertar-se da resistência patrimonial: e isso poderá acontecer somente com o fim da grande rapina de recursos, quando o sistema do direito conseguir ocupar espaços que antes estavam excluídos por tutelas externas. Mas mesmo quando isso acontecer, inteiras populações e inúmeros particulares não serão qualificados como indivíduos, isto é, não terão </w:t>
      </w:r>
      <w:r>
        <w:rPr>
          <w:rFonts w:ascii="Cambria" w:eastAsia="Cambria" w:hAnsi="Cambria" w:cs="Cambria"/>
          <w:i/>
        </w:rPr>
        <w:t>reconhecimento como pessoas</w:t>
      </w:r>
      <w:r>
        <w:rPr>
          <w:rFonts w:ascii="Cambria" w:eastAsia="Cambria" w:hAnsi="Cambria" w:cs="Cambria"/>
        </w:rPr>
        <w:t xml:space="preserve">. Enquanto o Ocidente celebrava ao seu interior a invenção dessas artificialidades da imputação de direitos – </w:t>
      </w:r>
      <w:r>
        <w:rPr>
          <w:rFonts w:ascii="Cambria" w:eastAsia="Cambria" w:hAnsi="Cambria" w:cs="Cambria"/>
          <w:i/>
        </w:rPr>
        <w:t>indivíduo e pessoa</w:t>
      </w:r>
      <w:r>
        <w:rPr>
          <w:rFonts w:ascii="Cambria" w:eastAsia="Cambria" w:hAnsi="Cambria" w:cs="Cambria"/>
        </w:rPr>
        <w:t xml:space="preserve"> –, nas suas fronteiras ocidentais, a Europa permitiria que multidões de particulares e de coletividades fossem excluídas da possibilidade de obter esse reconhecimento. Elas viviam em frente à porta do direito: eram multidões de corpos os quais jamais se tornariam individualidades, senão o direito os incluísse como objetos; multidões que o direito permitia que fossem compradas ou vendidas, porque, daqueles corpos, para o direito era relevante apenas a qualidade de mercadoria; salvo se o direito permitisse que tais multidões fossem utilizadas para a simples reprodução, uma vez que se reproduziriam somente corpos, não certamente individualidades. Digamos que para o direito essas multidões de corpos permanecem durante séculos um recurso do meio ambiente que pode sempre ser incluído, mas que permanece num espaço da indiferença, que não é jurídico, assim como não é político, e que, como recurso, pode ter somente valor de uso ou de troca.  A existência jurídica de multidões de corpos-objetos tinha espaços </w:t>
      </w:r>
      <w:r>
        <w:rPr>
          <w:rFonts w:ascii="Cambria" w:eastAsia="Cambria" w:hAnsi="Cambria" w:cs="Cambria"/>
        </w:rPr>
        <w:lastRenderedPageBreak/>
        <w:t>que eram determinados pelas exigências da economia, a qual tinha necessidade de força de trabalho, e não de artificialidades jurídicas.</w:t>
      </w:r>
    </w:p>
    <w:p w14:paraId="00000036" w14:textId="77777777" w:rsidR="004A0841" w:rsidRDefault="00000000">
      <w:pPr>
        <w:spacing w:after="0" w:line="480" w:lineRule="auto"/>
        <w:jc w:val="both"/>
        <w:rPr>
          <w:rFonts w:ascii="Cambria" w:eastAsia="Cambria" w:hAnsi="Cambria" w:cs="Cambria"/>
        </w:rPr>
      </w:pPr>
      <w:r>
        <w:rPr>
          <w:rFonts w:ascii="Cambria" w:eastAsia="Cambria" w:hAnsi="Cambria" w:cs="Cambria"/>
        </w:rPr>
        <w:t>Mas ainda quando essas multidões eram incluídas no direito, quando, isto é, o direito as tratava levando em consideração a individualidade dos particulares, então a inclusão era de tipo estratificado, no sentido em que essas individualidades não podiam aceder como sujeitos do direito, mas permaneciam na margem interior do direito como objetos de origem controlada. Mesmo fisicamente, eram colocadas à margem dos espaços urbanos: o paradoxo da inclusão devia ser feito visível: as multidões de indivíduos recém-inventados estavam dentro do universo da comunicação social porque estavam fora.</w:t>
      </w:r>
    </w:p>
    <w:p w14:paraId="00000037" w14:textId="77777777" w:rsidR="004A0841" w:rsidRDefault="00000000">
      <w:pPr>
        <w:spacing w:after="0" w:line="480" w:lineRule="auto"/>
        <w:jc w:val="both"/>
        <w:rPr>
          <w:rFonts w:ascii="Cambria" w:eastAsia="Cambria" w:hAnsi="Cambria" w:cs="Cambria"/>
        </w:rPr>
      </w:pPr>
      <w:r>
        <w:rPr>
          <w:rFonts w:ascii="Cambria" w:eastAsia="Cambria" w:hAnsi="Cambria" w:cs="Cambria"/>
        </w:rPr>
        <w:t>Isto significa que, no interior da sociedade, afirmam-se diferentes formas da estratificação, as quais podem incluir diferenças de cor, de religião, de etnia: em outra palavras, a própria estratificação se estratifica, e esta estratificação de diferenças coexiste, por sua vez, com grandes diferenças entre o centro e a periferia: diferenças as quais se estabilizam em razão do nível de especificação funcional que atingem os diferentes sistemas sociais. Onde quer que a evolução da sociedade tornará possível a afirmação da especificação funcional, produzem-se centros que periferizam aquelas regiões nas quais a estratificação resiste ou nas quais originárias formas da diferenciação segmentar foram sedimentadas como fósseis vivos, como fósseis ocultados e mantidos na obscuridade da latência. Também nas formas mais modernas, como no México e na Bolívia, eles são reconhecidos e incluídos, mas como diferentes. E tudo isso faz diferença.</w:t>
      </w:r>
    </w:p>
    <w:p w14:paraId="00000038"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Porque não se pode ignorar que a modernidade da sociedade moderna universaliza a inclusão de todos, universaliza os sistemas sociais particulares, universaliza-os na sua função, não tolera a estratificação e opera em simultaneidade. Nessas condições, as diferenças da estratificação são amplificadas, o presente das sociedades que apresentam formas múltiplas da estratificação </w:t>
      </w:r>
      <w:r>
        <w:rPr>
          <w:rFonts w:ascii="Cambria" w:eastAsia="Cambria" w:hAnsi="Cambria" w:cs="Cambria"/>
          <w:i/>
        </w:rPr>
        <w:t xml:space="preserve">é contemporâneo a outros presentes de que não é </w:t>
      </w:r>
      <w:r>
        <w:rPr>
          <w:rFonts w:ascii="Cambria" w:eastAsia="Cambria" w:hAnsi="Cambria" w:cs="Cambria"/>
          <w:i/>
        </w:rPr>
        <w:lastRenderedPageBreak/>
        <w:t>contemporâneo</w:t>
      </w:r>
      <w:r>
        <w:rPr>
          <w:rFonts w:ascii="Cambria" w:eastAsia="Cambria" w:hAnsi="Cambria" w:cs="Cambria"/>
        </w:rPr>
        <w:t xml:space="preserve">, tem à sua frente horizontes inacessíveis, dispõe de espaços de ação inacessíveis, experimenta a </w:t>
      </w:r>
      <w:r>
        <w:rPr>
          <w:rFonts w:ascii="Cambria" w:eastAsia="Cambria" w:hAnsi="Cambria" w:cs="Cambria"/>
          <w:i/>
        </w:rPr>
        <w:t>casualidade do seu ser como um inevitável ter sido</w:t>
      </w:r>
      <w:r>
        <w:rPr>
          <w:rFonts w:ascii="Cambria" w:eastAsia="Cambria" w:hAnsi="Cambria" w:cs="Cambria"/>
        </w:rPr>
        <w:t>.</w:t>
      </w:r>
    </w:p>
    <w:p w14:paraId="00000039"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À universalização do direito se opunha a seletividade da economia, assim como ao reconhecimento da liberdade de pensamento se opunha a seletividade do sistema educativo, e ao universal reconhecimento da dignidade de cada um se opunha a seletividade da exclusão das não-pessoas e dos não-indivíduos. Tal como à prática da democracia se opunha a </w:t>
      </w:r>
      <w:r>
        <w:rPr>
          <w:rFonts w:ascii="Cambria" w:eastAsia="Cambria" w:hAnsi="Cambria" w:cs="Cambria"/>
          <w:i/>
        </w:rPr>
        <w:t>inexistência de uma opinião pública, a impossibilidade da sua constituição e o carácter colonial da razão pública</w:t>
      </w:r>
      <w:r>
        <w:rPr>
          <w:rFonts w:ascii="Cambria" w:eastAsia="Cambria" w:hAnsi="Cambria" w:cs="Cambria"/>
        </w:rPr>
        <w:t>.</w:t>
      </w:r>
    </w:p>
    <w:p w14:paraId="0000003A" w14:textId="77777777" w:rsidR="004A0841" w:rsidRDefault="004A0841">
      <w:pPr>
        <w:pBdr>
          <w:top w:val="nil"/>
          <w:left w:val="nil"/>
          <w:bottom w:val="nil"/>
          <w:right w:val="nil"/>
          <w:between w:val="nil"/>
        </w:pBdr>
        <w:spacing w:line="480" w:lineRule="auto"/>
        <w:jc w:val="both"/>
        <w:rPr>
          <w:rFonts w:ascii="Cambria" w:eastAsia="Cambria" w:hAnsi="Cambria" w:cs="Cambria"/>
          <w:i/>
        </w:rPr>
      </w:pPr>
    </w:p>
    <w:p w14:paraId="0000003B" w14:textId="77777777" w:rsidR="004A0841" w:rsidRDefault="00000000">
      <w:pPr>
        <w:numPr>
          <w:ilvl w:val="0"/>
          <w:numId w:val="2"/>
        </w:numPr>
        <w:pBdr>
          <w:top w:val="nil"/>
          <w:left w:val="nil"/>
          <w:bottom w:val="nil"/>
          <w:right w:val="nil"/>
          <w:between w:val="nil"/>
        </w:pBdr>
        <w:spacing w:line="480" w:lineRule="auto"/>
        <w:jc w:val="both"/>
        <w:rPr>
          <w:rFonts w:ascii="Cambria" w:eastAsia="Cambria" w:hAnsi="Cambria" w:cs="Cambria"/>
          <w:color w:val="000000"/>
        </w:rPr>
      </w:pPr>
      <w:r>
        <w:rPr>
          <w:rFonts w:ascii="Cambria" w:eastAsia="Cambria" w:hAnsi="Cambria" w:cs="Cambria"/>
          <w:i/>
          <w:color w:val="000000"/>
        </w:rPr>
        <w:t>Latência estrutural</w:t>
      </w:r>
    </w:p>
    <w:p w14:paraId="0000003C"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Mas a sociedade moderna é somente um sistema da sociedade do mundo. Não existem muitas sociedades. Existem diferenças regionais da sociedade do mundo. O mundo é o horizonte que está presente em cada comunicação social. E é esta presença do mundo que torna a sociedade continuamente presente a si mesma na simultaneidade do acontecer. Os sistemas sociais são universalizados, mesmo se cada um apresenta níveis diferentes de universalização. A simultaneidade do acontecer </w:t>
      </w:r>
      <w:r>
        <w:rPr>
          <w:rFonts w:ascii="Cambria" w:eastAsia="Cambria" w:hAnsi="Cambria" w:cs="Cambria"/>
          <w:highlight w:val="white"/>
        </w:rPr>
        <w:t>homogeneiza</w:t>
      </w:r>
      <w:r>
        <w:rPr>
          <w:rFonts w:ascii="Cambria" w:eastAsia="Cambria" w:hAnsi="Cambria" w:cs="Cambria"/>
        </w:rPr>
        <w:t xml:space="preserve"> a percepção das diferenças em todas as regiões da terra. Nessas condições, os sistemas sociais particulares acham racional utilizar as diferenças existentes e amplificá-las.</w:t>
      </w:r>
    </w:p>
    <w:p w14:paraId="0000003D"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Nas regiões nas quais o acesso à comunicação social encontra escassa resistência por parte dos resíduos da estratificação, os sistemas sociais utilizam de modo </w:t>
      </w:r>
      <w:r>
        <w:rPr>
          <w:rFonts w:ascii="Cambria" w:eastAsia="Cambria" w:hAnsi="Cambria" w:cs="Cambria"/>
          <w:i/>
        </w:rPr>
        <w:t>indiferente</w:t>
      </w:r>
      <w:r>
        <w:rPr>
          <w:rFonts w:ascii="Cambria" w:eastAsia="Cambria" w:hAnsi="Cambria" w:cs="Cambria"/>
        </w:rPr>
        <w:t xml:space="preserve"> a distinção entre inclusão e exclusão que surge do seu normal funcionamento.</w:t>
      </w:r>
    </w:p>
    <w:p w14:paraId="0000003E"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Em regiões nas quais o acesso à comunicação social é mediado pela estratificação, e na realidade da América Latina – repetimos – resistem ainda múltiplas formas da estratificação, a distinção entre inclusão e exclusão é violenta e brutalmente reforçada: é </w:t>
      </w:r>
      <w:r>
        <w:rPr>
          <w:rFonts w:ascii="Cambria" w:eastAsia="Cambria" w:hAnsi="Cambria" w:cs="Cambria"/>
        </w:rPr>
        <w:lastRenderedPageBreak/>
        <w:t xml:space="preserve">usada em modo </w:t>
      </w:r>
      <w:r>
        <w:rPr>
          <w:rFonts w:ascii="Cambria" w:eastAsia="Cambria" w:hAnsi="Cambria" w:cs="Cambria"/>
          <w:i/>
        </w:rPr>
        <w:t>diferente</w:t>
      </w:r>
      <w:r>
        <w:rPr>
          <w:rFonts w:ascii="Cambria" w:eastAsia="Cambria" w:hAnsi="Cambria" w:cs="Cambria"/>
        </w:rPr>
        <w:t xml:space="preserve">, aplica-se a si mesma. É por isso que as diferenças existentes são reforçadas. Os particulares, os quais são incluídos, mas pertencem a grandes multidões de excluídos, não podem ser tratados como detentores de direitos individuais porque a construção da individualidade dos particulares é condicionada por fatores externos ao direito. E ainda que os particulares sejam incluídos no direito, a estratificação irá opor resistência para que esses sejam tratados e considerados eles mesmos portadores de interesses que surgem da autodeterminação de cada um. Nessas condições, os indivíduos das multidões que são colocados nas fronteiras não são </w:t>
      </w:r>
      <w:r>
        <w:rPr>
          <w:rFonts w:ascii="Cambria" w:eastAsia="Cambria" w:hAnsi="Cambria" w:cs="Cambria"/>
          <w:i/>
        </w:rPr>
        <w:t>pessoas</w:t>
      </w:r>
      <w:r>
        <w:rPr>
          <w:rFonts w:ascii="Cambria" w:eastAsia="Cambria" w:hAnsi="Cambria" w:cs="Cambria"/>
        </w:rPr>
        <w:t xml:space="preserve">, isto é, </w:t>
      </w:r>
      <w:r>
        <w:rPr>
          <w:rFonts w:ascii="Cambria" w:eastAsia="Cambria" w:hAnsi="Cambria" w:cs="Cambria"/>
          <w:i/>
        </w:rPr>
        <w:t>indiferenças</w:t>
      </w:r>
      <w:r>
        <w:rPr>
          <w:rFonts w:ascii="Cambria" w:eastAsia="Cambria" w:hAnsi="Cambria" w:cs="Cambria"/>
        </w:rPr>
        <w:t xml:space="preserve">: são </w:t>
      </w:r>
      <w:r>
        <w:rPr>
          <w:rFonts w:ascii="Cambria" w:eastAsia="Cambria" w:hAnsi="Cambria" w:cs="Cambria"/>
          <w:i/>
        </w:rPr>
        <w:t>diferenças</w:t>
      </w:r>
      <w:r>
        <w:rPr>
          <w:rFonts w:ascii="Cambria" w:eastAsia="Cambria" w:hAnsi="Cambria" w:cs="Cambria"/>
        </w:rPr>
        <w:t xml:space="preserve"> que acedem à comunicação social a partir da mediação da sua diferença; a comunicação social reativa continuamente a violência estrutural da exclusão que os reporta à condição de </w:t>
      </w:r>
      <w:r>
        <w:rPr>
          <w:rFonts w:ascii="Cambria" w:eastAsia="Cambria" w:hAnsi="Cambria" w:cs="Cambria"/>
          <w:i/>
        </w:rPr>
        <w:t>não-pessoas</w:t>
      </w:r>
      <w:r>
        <w:rPr>
          <w:rFonts w:ascii="Cambria" w:eastAsia="Cambria" w:hAnsi="Cambria" w:cs="Cambria"/>
        </w:rPr>
        <w:t>: reativa tanto a forma da exclusão que caracteriza a estratificação, quanto a forma da exclusão que nasce da inclusão universal.</w:t>
      </w:r>
    </w:p>
    <w:p w14:paraId="0000003F"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O presente se multiplica de passados os quais são produzidos no presente, e quanto mais o presente </w:t>
      </w:r>
      <w:r>
        <w:rPr>
          <w:rFonts w:ascii="Cambria" w:eastAsia="Cambria" w:hAnsi="Cambria" w:cs="Cambria"/>
          <w:i/>
        </w:rPr>
        <w:t>universaliza</w:t>
      </w:r>
      <w:r>
        <w:rPr>
          <w:rFonts w:ascii="Cambria" w:eastAsia="Cambria" w:hAnsi="Cambria" w:cs="Cambria"/>
        </w:rPr>
        <w:t xml:space="preserve"> a inclusão, tanto mais isso </w:t>
      </w:r>
      <w:r>
        <w:rPr>
          <w:rFonts w:ascii="Cambria" w:eastAsia="Cambria" w:hAnsi="Cambria" w:cs="Cambria"/>
          <w:i/>
        </w:rPr>
        <w:t>especifica</w:t>
      </w:r>
      <w:r>
        <w:rPr>
          <w:rFonts w:ascii="Cambria" w:eastAsia="Cambria" w:hAnsi="Cambria" w:cs="Cambria"/>
        </w:rPr>
        <w:t xml:space="preserve"> a exclusão. </w:t>
      </w:r>
    </w:p>
    <w:p w14:paraId="00000040"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Em outros termos, os particulares, antes de serem indivíduos, </w:t>
      </w:r>
      <w:r>
        <w:rPr>
          <w:rFonts w:ascii="Cambria" w:eastAsia="Cambria" w:hAnsi="Cambria" w:cs="Cambria"/>
          <w:i/>
        </w:rPr>
        <w:t>são sempre qualquer coisa outra</w:t>
      </w:r>
      <w:r>
        <w:rPr>
          <w:rFonts w:ascii="Cambria" w:eastAsia="Cambria" w:hAnsi="Cambria" w:cs="Cambria"/>
        </w:rPr>
        <w:t>, quer estejam eles na inclusão, quer estejam na exclusão.</w:t>
      </w:r>
    </w:p>
    <w:p w14:paraId="00000041"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complexidade estrutural da sociedade no Brasil está ligada à co-presença de não-contemporaneidades as quais, ainda que superadas pela inclusão universal de todos, estão presentes como </w:t>
      </w:r>
      <w:r>
        <w:rPr>
          <w:rFonts w:ascii="Cambria" w:eastAsia="Cambria" w:hAnsi="Cambria" w:cs="Cambria"/>
          <w:i/>
        </w:rPr>
        <w:t>latências estruturais</w:t>
      </w:r>
      <w:r>
        <w:rPr>
          <w:rFonts w:ascii="Cambria" w:eastAsia="Cambria" w:hAnsi="Cambria" w:cs="Cambria"/>
        </w:rPr>
        <w:t>: uma latência é uma presença esquecida, uma presença sobre a qual não repousa a observação, ou, ainda mais, uma presença que é observada como presença, mas é tratada como negada e superada pela inclusão. Na realidade, a inclusão nega a latência porque é indiferente em respeito a ela, mas é precisamente essa indiferença que faz a diferença: exatamente porque a nega, reforça-a como latência e realiza assim as condições da sua possível explosão.</w:t>
      </w:r>
    </w:p>
    <w:p w14:paraId="00000042" w14:textId="77777777" w:rsidR="004A0841" w:rsidRDefault="00000000">
      <w:pPr>
        <w:spacing w:after="0" w:line="480" w:lineRule="auto"/>
        <w:jc w:val="both"/>
        <w:rPr>
          <w:rFonts w:ascii="Cambria" w:eastAsia="Cambria" w:hAnsi="Cambria" w:cs="Cambria"/>
        </w:rPr>
      </w:pPr>
      <w:r>
        <w:rPr>
          <w:rFonts w:ascii="Cambria" w:eastAsia="Cambria" w:hAnsi="Cambria" w:cs="Cambria"/>
        </w:rPr>
        <w:lastRenderedPageBreak/>
        <w:t xml:space="preserve">A dura presença de </w:t>
      </w:r>
      <w:r>
        <w:rPr>
          <w:rFonts w:ascii="Cambria" w:eastAsia="Cambria" w:hAnsi="Cambria" w:cs="Cambria"/>
          <w:i/>
        </w:rPr>
        <w:t>latências estruturais</w:t>
      </w:r>
      <w:r>
        <w:rPr>
          <w:rFonts w:ascii="Cambria" w:eastAsia="Cambria" w:hAnsi="Cambria" w:cs="Cambria"/>
        </w:rPr>
        <w:t xml:space="preserve"> e o seu enraizamento como fósseis na memória da sociedade conferem também ao catálogo dos direitos humanos particulares caraterísticas: eles vêm continuamente evocados como garantias, como proteções, como lugares para os quais se faz convergir reivindicações e expectativas da sua realização. Na realidade, aqueles catálogos, que por séculos puderam coexistir com a mais brutal escravatura e o mais sanguinolento etnocídio, com a maior exploração e com a fome mais violenta, têm uma função diferente daquelas declaradas e daquelas que os modernos teóricos deduzem do pressuposto da sua fundação e da sua humanidade: eles têm apenas a função de </w:t>
      </w:r>
      <w:r>
        <w:rPr>
          <w:rFonts w:ascii="Cambria" w:eastAsia="Cambria" w:hAnsi="Cambria" w:cs="Cambria"/>
          <w:i/>
        </w:rPr>
        <w:t>estabilizar as premissas evolutivas da moderna forma da diferenciação social</w:t>
      </w:r>
      <w:r>
        <w:rPr>
          <w:rFonts w:ascii="Cambria" w:eastAsia="Cambria" w:hAnsi="Cambria" w:cs="Cambria"/>
        </w:rPr>
        <w:t>. Apenas as premissas evolutivas. Diante das condições da forma da diferenciação que estão afirmadas em muitas regiões da América Latina, aqueles catálogos podem coexistir com as consequências perversas do normal funcionamento dos diferentes sistemas sociais. Eles reforçam as latências e mascaram as exclusões.</w:t>
      </w:r>
    </w:p>
    <w:p w14:paraId="00000043" w14:textId="77777777" w:rsidR="004A0841" w:rsidRDefault="004A0841">
      <w:pPr>
        <w:spacing w:line="480" w:lineRule="auto"/>
        <w:jc w:val="both"/>
        <w:rPr>
          <w:rFonts w:ascii="Cambria" w:eastAsia="Cambria" w:hAnsi="Cambria" w:cs="Cambria"/>
        </w:rPr>
      </w:pPr>
    </w:p>
    <w:p w14:paraId="00000044" w14:textId="77777777" w:rsidR="004A0841" w:rsidRDefault="00000000">
      <w:pPr>
        <w:numPr>
          <w:ilvl w:val="0"/>
          <w:numId w:val="2"/>
        </w:numPr>
        <w:pBdr>
          <w:top w:val="nil"/>
          <w:left w:val="nil"/>
          <w:bottom w:val="nil"/>
          <w:right w:val="nil"/>
          <w:between w:val="nil"/>
        </w:pBdr>
        <w:spacing w:line="480" w:lineRule="auto"/>
        <w:jc w:val="both"/>
        <w:rPr>
          <w:rFonts w:ascii="Cambria" w:eastAsia="Cambria" w:hAnsi="Cambria" w:cs="Cambria"/>
          <w:color w:val="000000"/>
        </w:rPr>
      </w:pPr>
      <w:r>
        <w:rPr>
          <w:rFonts w:ascii="Cambria" w:eastAsia="Cambria" w:hAnsi="Cambria" w:cs="Cambria"/>
          <w:i/>
          <w:color w:val="000000"/>
        </w:rPr>
        <w:t>Erosão das constituições e contra-iluminismo neopopulista</w:t>
      </w:r>
    </w:p>
    <w:p w14:paraId="00000045"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A última Constituição do Brasil, assim como aquelas que em outros países latino-americanos vieram à luz nos anos sucessivos, está impregnada de grandes ressonâncias iluministas. Não é por acaso, naturalmente: como para Kant o iluminismo significava saída, êxodo, assim também para este país a sua Constituição era uma </w:t>
      </w:r>
      <w:r>
        <w:rPr>
          <w:rFonts w:ascii="Cambria" w:eastAsia="Cambria" w:hAnsi="Cambria" w:cs="Cambria"/>
          <w:i/>
        </w:rPr>
        <w:t>saída</w:t>
      </w:r>
      <w:r>
        <w:rPr>
          <w:rFonts w:ascii="Cambria" w:eastAsia="Cambria" w:hAnsi="Cambria" w:cs="Cambria"/>
        </w:rPr>
        <w:t xml:space="preserve">, um </w:t>
      </w:r>
      <w:r>
        <w:rPr>
          <w:rFonts w:ascii="Cambria" w:eastAsia="Cambria" w:hAnsi="Cambria" w:cs="Cambria"/>
          <w:i/>
        </w:rPr>
        <w:t>acesso</w:t>
      </w:r>
      <w:r>
        <w:rPr>
          <w:rFonts w:ascii="Cambria" w:eastAsia="Cambria" w:hAnsi="Cambria" w:cs="Cambria"/>
        </w:rPr>
        <w:t xml:space="preserve"> à idade adulta da razão democrática.</w:t>
      </w:r>
    </w:p>
    <w:p w14:paraId="00000046"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Encerra-se, com os últimos vinte anos do século passado, o ambiente político da civilização ocidental: uma civilização que havia saído das trágicas experiências da primeira metade do século com o recurso a projetos jusnaturalistas que haviam sido condensados nas </w:t>
      </w:r>
      <w:r>
        <w:rPr>
          <w:rFonts w:ascii="Cambria" w:eastAsia="Cambria" w:hAnsi="Cambria" w:cs="Cambria"/>
          <w:i/>
        </w:rPr>
        <w:t>declarações universais de direitos</w:t>
      </w:r>
      <w:r>
        <w:rPr>
          <w:rFonts w:ascii="Cambria" w:eastAsia="Cambria" w:hAnsi="Cambria" w:cs="Cambria"/>
        </w:rPr>
        <w:t xml:space="preserve"> e na reconstituição de grandes </w:t>
      </w:r>
      <w:r>
        <w:rPr>
          <w:rFonts w:ascii="Cambria" w:eastAsia="Cambria" w:hAnsi="Cambria" w:cs="Cambria"/>
        </w:rPr>
        <w:lastRenderedPageBreak/>
        <w:t>organismos universais de paz e de solidariedade; mas uma civilização que, do estalinismo, iludia-se de conhecer somente o contributo para a libertação do nazi-fascismo e que pensava que a China fosse apenas uma grande fábrica nas quais se embalavam as mercadorias ocidentais. Todas as grandes constituições do final dos anos quarenta são de inspiração marcadamente jusnaturalista e de grande abertura aos direitos sociais e, de forma bastante seletiva, aos direitos civis.</w:t>
      </w:r>
    </w:p>
    <w:p w14:paraId="00000047"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Na segunda metade do século passado, o mundo era ainda facilmente acessível. Havia o ocidente e havia o oriente. Mesmo as ditaduras daqueles anos eram facilmente identificáveis: havia aquelas impostas pelo ocidente e aquelas impostas pelo oriente. Depois, com o fim dos anos oitenta, o mundo não tem sido mais acessível àquela diferença. Naquele mundo era necessário colocar outros mundos que o século havia excluído do mundo. Inteiros continentes haviam sido excluídos. O mundo agora era presente, simultâneo, intransparente. Assim como o iluminismo havia inventado a humanidade, a tolerância, a liberdade de pensamento, o futuro, a universalidade da razão; tal como os regimes haviam destruído militarmente aquelas aquisições – do mesmo modo, no final do século, a política começa a se ocupar das diferenças, a partir do que separa os Estados, os territórios, os particulares. Começa a se ocupar das identidades. Identidades dos particulares, identidades étnicas, identidades territoriais, culturais, religiosas ocupam a semântica no interior da qual a política procura temas capazes de produzir consenso num mundo que é fortemente ameaçado pela sua incapturável complexidade. Povo, por exemplo. Um pensamento metafísico, um vazio de sentido. Uma construção jurídica que vem materializada, transformada em entidade metafísica e que se torna objeto de uma absoluta autorreferência. Povo: um conceito vazio que torna possível recuperar os detritos do arsenal usado pelo contra-iluminismo na sua guerra contra toda </w:t>
      </w:r>
      <w:r>
        <w:rPr>
          <w:rFonts w:ascii="Cambria" w:eastAsia="Cambria" w:hAnsi="Cambria" w:cs="Cambria"/>
          <w:i/>
        </w:rPr>
        <w:t>saída</w:t>
      </w:r>
      <w:r>
        <w:rPr>
          <w:rFonts w:ascii="Cambria" w:eastAsia="Cambria" w:hAnsi="Cambria" w:cs="Cambria"/>
        </w:rPr>
        <w:t xml:space="preserve">, para usar ainda o termo de Kant, na sua guerra contra toda </w:t>
      </w:r>
      <w:r>
        <w:rPr>
          <w:rFonts w:ascii="Cambria" w:eastAsia="Cambria" w:hAnsi="Cambria" w:cs="Cambria"/>
          <w:i/>
        </w:rPr>
        <w:t>experiência de libertação</w:t>
      </w:r>
      <w:r>
        <w:rPr>
          <w:rFonts w:ascii="Cambria" w:eastAsia="Cambria" w:hAnsi="Cambria" w:cs="Cambria"/>
        </w:rPr>
        <w:t xml:space="preserve">, contra </w:t>
      </w:r>
      <w:r>
        <w:rPr>
          <w:rFonts w:ascii="Cambria" w:eastAsia="Cambria" w:hAnsi="Cambria" w:cs="Cambria"/>
        </w:rPr>
        <w:lastRenderedPageBreak/>
        <w:t>toda tentativa de aceder à complexidade da sociedade moderna mantendo o futuro aberto a todas as possibilidades de escolha.</w:t>
      </w:r>
    </w:p>
    <w:p w14:paraId="00000048"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Nestas condições de reformulação da semântica política, delineia-se um processo de contínua erosão das características iluministas sedimentadas nas constituições mais recentes. Mas se vê também quanto, na realidade, é intrasparente a transparência do texto constitucional. Populismo é a metafísica política desta inquisição renascida. E, de fato, o povo deste populismo é o povo de que fala o </w:t>
      </w:r>
      <w:r>
        <w:rPr>
          <w:rFonts w:ascii="Cambria" w:eastAsia="Cambria" w:hAnsi="Cambria" w:cs="Cambria"/>
          <w:i/>
        </w:rPr>
        <w:t>Grande Inquisidor</w:t>
      </w:r>
      <w:r>
        <w:rPr>
          <w:rFonts w:ascii="Cambria" w:eastAsia="Cambria" w:hAnsi="Cambria" w:cs="Cambria"/>
        </w:rPr>
        <w:t xml:space="preserve"> de Dostoiévski. Na sua vulgaridade, este neopopulismo corrói o manto iluminista do texto constitucional e expõe ao desprezo e ao escárnio o núcleo místico da conceitualidade de origem iluminista.</w:t>
      </w:r>
    </w:p>
    <w:p w14:paraId="00000049" w14:textId="77777777" w:rsidR="004A0841" w:rsidRDefault="00000000">
      <w:pPr>
        <w:spacing w:after="0" w:line="480" w:lineRule="auto"/>
        <w:jc w:val="both"/>
        <w:rPr>
          <w:rFonts w:ascii="Cambria" w:eastAsia="Cambria" w:hAnsi="Cambria" w:cs="Cambria"/>
        </w:rPr>
      </w:pPr>
      <w:r>
        <w:rPr>
          <w:rFonts w:ascii="Cambria" w:eastAsia="Cambria" w:hAnsi="Cambria" w:cs="Cambria"/>
        </w:rPr>
        <w:t>Aquilo que se passou nos últimos dez anos da vida constitucional do Brasil permite tirar algumas conclusões de certo interesse. Pode-se ver, por exemplo, quão fictícia é a distinção que fazem os constitucionalistas entre constituição formal e constituição material; quão longe está de qualquer plausibilidade a ideia da diferença de Estado e sociedade; e quanto é metafísica a ideia de uma constituição a ser entendida como forma da estabilidade do ordenamento do Estado.</w:t>
      </w:r>
    </w:p>
    <w:p w14:paraId="0000004A"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Considerem a forma das garantias, por exemplo. Os populistas italianos a utilizam para tutelar o povo da agressão dos migrantes. Mas se trata de uma agressão que não existe, naturalmente. Ao contrário, a economia tem uma grande necessidade de imigrantes. São os mesmos populistas que cancelaram o conceito penal de </w:t>
      </w:r>
      <w:r>
        <w:rPr>
          <w:rFonts w:ascii="Cambria" w:eastAsia="Cambria" w:hAnsi="Cambria" w:cs="Cambria"/>
          <w:i/>
        </w:rPr>
        <w:t>abuso de poder</w:t>
      </w:r>
      <w:r>
        <w:rPr>
          <w:rFonts w:ascii="Cambria" w:eastAsia="Cambria" w:hAnsi="Cambria" w:cs="Cambria"/>
        </w:rPr>
        <w:t xml:space="preserve">; que controlam a imprensa para garantir a liberdade de expressão; que controlam a informação para garantir acesso a todos. São os mesmos que definiram como “carga residual” os migrantes que haviam sido salvos no mar por um navio humanitário e que o direito depois efetivamente tratou como “carga residual”, como mercadorias descartáveis.  Considerem a legislação húngara que submete a magistratura ao poder político para tornar possível </w:t>
      </w:r>
      <w:r>
        <w:rPr>
          <w:rFonts w:ascii="Cambria" w:eastAsia="Cambria" w:hAnsi="Cambria" w:cs="Cambria"/>
        </w:rPr>
        <w:lastRenderedPageBreak/>
        <w:t>“juízes independentes”; a legislação russa sobre a liberdade de expressão que manda para a prisão se se utiliza a palavra “guerra” ou que declara “sedição” o fato de depositar flores sobre uma tumba.</w:t>
      </w:r>
    </w:p>
    <w:p w14:paraId="0000004B" w14:textId="77777777" w:rsidR="004A0841" w:rsidRDefault="00000000">
      <w:pPr>
        <w:spacing w:after="0" w:line="480" w:lineRule="auto"/>
        <w:jc w:val="both"/>
        <w:rPr>
          <w:rFonts w:ascii="Cambria" w:eastAsia="Cambria" w:hAnsi="Cambria" w:cs="Cambria"/>
        </w:rPr>
      </w:pPr>
      <w:r>
        <w:rPr>
          <w:rFonts w:ascii="Cambria" w:eastAsia="Cambria" w:hAnsi="Cambria" w:cs="Cambria"/>
        </w:rPr>
        <w:t xml:space="preserve">Considerem as formas da legislação sobre o direito ao voto nos Estados Unidos. Façam o esforço de estabelecer uma diferença entre a forma atual do processo penal na Rússia neoczarista e aquela forma do processo penal estalinista dos anos trinta. E, depois, se quiserem ter uma ideia </w:t>
      </w:r>
      <w:r>
        <w:rPr>
          <w:rFonts w:ascii="Cambria" w:eastAsia="Cambria" w:hAnsi="Cambria" w:cs="Cambria"/>
          <w:i/>
        </w:rPr>
        <w:t>constitucional</w:t>
      </w:r>
      <w:r>
        <w:rPr>
          <w:rFonts w:ascii="Cambria" w:eastAsia="Cambria" w:hAnsi="Cambria" w:cs="Cambria"/>
        </w:rPr>
        <w:t xml:space="preserve"> do povo dos nossos neopopulistas, sugiro ler ou reler as páginas de uma obra aterradora sobre “povo”: Carl Schmitt, 1933, </w:t>
      </w:r>
      <w:r>
        <w:rPr>
          <w:rFonts w:ascii="Cambria" w:eastAsia="Cambria" w:hAnsi="Cambria" w:cs="Cambria"/>
          <w:i/>
        </w:rPr>
        <w:t>Staat, Bewegung, Volk</w:t>
      </w:r>
      <w:r>
        <w:rPr>
          <w:rFonts w:ascii="Cambria" w:eastAsia="Cambria" w:hAnsi="Cambria" w:cs="Cambria"/>
        </w:rPr>
        <w:t xml:space="preserve"> (&lt;Estado, movimento, povo: as três articulações da unidade política&gt;). Com uma argumentação caracterizada pela desconcertante coerência, naquelas páginas se defende a legitimação jurídica da autoconsumação populista da Constituição de Weimar e a sua encarnação na ditadura nazista.</w:t>
      </w:r>
    </w:p>
    <w:p w14:paraId="0000004C" w14:textId="77777777" w:rsidR="004A0841" w:rsidRDefault="00000000">
      <w:pPr>
        <w:spacing w:line="480" w:lineRule="auto"/>
        <w:jc w:val="both"/>
        <w:rPr>
          <w:rFonts w:ascii="Cambria" w:eastAsia="Cambria" w:hAnsi="Cambria" w:cs="Cambria"/>
        </w:rPr>
      </w:pPr>
      <w:r>
        <w:rPr>
          <w:rFonts w:ascii="Cambria" w:eastAsia="Cambria" w:hAnsi="Cambria" w:cs="Cambria"/>
        </w:rPr>
        <w:t xml:space="preserve">As constituições modernas delineiam espaços semânticos nos quais está prevista a possibilidade da “saída”, que é a grande herança que nos deixou o iluminismo. O neopulismo, que é negação da civilização que se tornou possível graças àquela mesma cultura, retoma a guerra contra o iluminismo e nega toda possibilidade de “saída”. Por que?. Que coisa se quer alcançar com a erosão das constituições que bloqueia aquela saída? Pode-se responder de diferentes maneiras. </w:t>
      </w:r>
    </w:p>
    <w:p w14:paraId="0000004D" w14:textId="72F278EB" w:rsidR="004A0841" w:rsidRDefault="00000000">
      <w:pPr>
        <w:spacing w:line="480" w:lineRule="auto"/>
        <w:jc w:val="both"/>
        <w:rPr>
          <w:rFonts w:ascii="Cambria" w:eastAsia="Cambria" w:hAnsi="Cambria" w:cs="Cambria"/>
        </w:rPr>
      </w:pPr>
      <w:r>
        <w:rPr>
          <w:rFonts w:ascii="Cambria" w:eastAsia="Cambria" w:hAnsi="Cambria" w:cs="Cambria"/>
        </w:rPr>
        <w:t xml:space="preserve">O neopopulismo erode as constituições porque consome as possibilidades civilizatórias que elas abrem como saída. O terror da saída é o terror da complexidade; é um terror arcaico da alteridade, que protege o povo como rebanho criminalizando a alteridade. É o </w:t>
      </w:r>
      <w:r>
        <w:rPr>
          <w:rFonts w:ascii="Cambria" w:eastAsia="Cambria" w:hAnsi="Cambria" w:cs="Cambria"/>
          <w:i/>
        </w:rPr>
        <w:t>éthos</w:t>
      </w:r>
      <w:r>
        <w:rPr>
          <w:rFonts w:ascii="Cambria" w:eastAsia="Cambria" w:hAnsi="Cambria" w:cs="Cambria"/>
        </w:rPr>
        <w:t xml:space="preserve"> erosivo do </w:t>
      </w:r>
      <w:r w:rsidRPr="002A3992">
        <w:rPr>
          <w:rFonts w:ascii="Cambria" w:eastAsia="Cambria" w:hAnsi="Cambria" w:cs="Cambria"/>
          <w:i/>
          <w:iCs/>
        </w:rPr>
        <w:t>Grande Inquisidor:</w:t>
      </w:r>
      <w:r>
        <w:rPr>
          <w:rFonts w:ascii="Cambria" w:eastAsia="Cambria" w:hAnsi="Cambria" w:cs="Cambria"/>
        </w:rPr>
        <w:t xml:space="preserve"> suprime o pensamento da liberdade dos particulares mantendo unido o povo como rebanho a partir da invenção de um inimigo. Cada vez um um novo inimigo. É um </w:t>
      </w:r>
      <w:r>
        <w:rPr>
          <w:rFonts w:ascii="Cambria" w:eastAsia="Cambria" w:hAnsi="Cambria" w:cs="Cambria"/>
          <w:i/>
        </w:rPr>
        <w:t>éthos</w:t>
      </w:r>
      <w:r>
        <w:rPr>
          <w:rFonts w:ascii="Cambria" w:eastAsia="Cambria" w:hAnsi="Cambria" w:cs="Cambria"/>
        </w:rPr>
        <w:t xml:space="preserve"> arcaico. </w:t>
      </w:r>
      <w:r w:rsidRPr="002A3992">
        <w:rPr>
          <w:rFonts w:ascii="Cambria" w:eastAsia="Cambria" w:hAnsi="Cambria" w:cs="Cambria"/>
          <w:i/>
          <w:iCs/>
        </w:rPr>
        <w:t>Calgacus</w:t>
      </w:r>
      <w:r>
        <w:rPr>
          <w:rFonts w:ascii="Cambria" w:eastAsia="Cambria" w:hAnsi="Cambria" w:cs="Cambria"/>
        </w:rPr>
        <w:t xml:space="preserve">, o herói dos britânicos, havia-o dito. </w:t>
      </w:r>
      <w:r w:rsidRPr="002A3992">
        <w:rPr>
          <w:rFonts w:ascii="Cambria" w:eastAsia="Cambria" w:hAnsi="Cambria" w:cs="Cambria"/>
          <w:i/>
          <w:iCs/>
        </w:rPr>
        <w:t xml:space="preserve">Os </w:t>
      </w:r>
      <w:r w:rsidRPr="002A3992">
        <w:rPr>
          <w:rFonts w:ascii="Cambria" w:eastAsia="Cambria" w:hAnsi="Cambria" w:cs="Cambria"/>
          <w:i/>
          <w:iCs/>
        </w:rPr>
        <w:lastRenderedPageBreak/>
        <w:t>romanos fazem um deserto e chamam-lhe paz</w:t>
      </w:r>
      <w:r>
        <w:rPr>
          <w:rFonts w:ascii="Cambria" w:eastAsia="Cambria" w:hAnsi="Cambria" w:cs="Cambria"/>
        </w:rPr>
        <w:t xml:space="preserve">. Hoje, o neopopulismo da autoproteção faz </w:t>
      </w:r>
      <w:r w:rsidRPr="002A3992">
        <w:rPr>
          <w:rFonts w:ascii="Cambria" w:eastAsia="Cambria" w:hAnsi="Cambria" w:cs="Cambria"/>
          <w:i/>
          <w:iCs/>
        </w:rPr>
        <w:t>outros desertos</w:t>
      </w:r>
      <w:r w:rsidR="007C542A">
        <w:rPr>
          <w:rFonts w:ascii="Cambria" w:eastAsia="Cambria" w:hAnsi="Cambria" w:cs="Cambria"/>
          <w:i/>
          <w:iCs/>
        </w:rPr>
        <w:t>, faz desertos sem fim. Só faz desertos e chama-lhes paz.</w:t>
      </w:r>
      <w:r>
        <w:rPr>
          <w:rFonts w:ascii="Cambria" w:eastAsia="Cambria" w:hAnsi="Cambria" w:cs="Cambria"/>
        </w:rPr>
        <w:t xml:space="preserve">. </w:t>
      </w:r>
    </w:p>
    <w:p w14:paraId="0000004E" w14:textId="47CF2791" w:rsidR="004A0841" w:rsidRDefault="004A0841" w:rsidP="0008585C">
      <w:pPr>
        <w:spacing w:line="480" w:lineRule="auto"/>
        <w:jc w:val="both"/>
        <w:rPr>
          <w:rFonts w:ascii="Cambria" w:eastAsia="Cambria" w:hAnsi="Cambria" w:cs="Cambria"/>
        </w:rPr>
      </w:pPr>
    </w:p>
    <w:p w14:paraId="0000004F" w14:textId="77777777" w:rsidR="004A0841" w:rsidRDefault="004A0841">
      <w:pPr>
        <w:spacing w:line="480" w:lineRule="auto"/>
        <w:jc w:val="both"/>
        <w:rPr>
          <w:rFonts w:ascii="Cambria" w:eastAsia="Cambria" w:hAnsi="Cambria" w:cs="Cambria"/>
        </w:rPr>
      </w:pPr>
    </w:p>
    <w:p w14:paraId="2CD6EBF1" w14:textId="77777777" w:rsidR="007C542A" w:rsidRPr="007C542A" w:rsidRDefault="007C542A" w:rsidP="007C542A">
      <w:pPr>
        <w:spacing w:line="480" w:lineRule="auto"/>
        <w:jc w:val="both"/>
        <w:rPr>
          <w:rFonts w:ascii="Cambria" w:eastAsia="Cambria" w:hAnsi="Cambria" w:cs="Cambria"/>
        </w:rPr>
      </w:pPr>
    </w:p>
    <w:p w14:paraId="1769CB63" w14:textId="5B15BA4B" w:rsidR="007C542A" w:rsidRDefault="007C542A" w:rsidP="007C542A">
      <w:pPr>
        <w:spacing w:line="480" w:lineRule="auto"/>
        <w:jc w:val="both"/>
        <w:rPr>
          <w:rFonts w:ascii="Cambria" w:eastAsia="Cambria" w:hAnsi="Cambria" w:cs="Cambria"/>
        </w:rPr>
      </w:pPr>
    </w:p>
    <w:sectPr w:rsidR="007C542A">
      <w:headerReference w:type="default" r:id="rId7"/>
      <w:footerReference w:type="even"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7003F" w14:textId="77777777" w:rsidR="005544E3" w:rsidRDefault="005544E3">
      <w:pPr>
        <w:spacing w:after="0" w:line="240" w:lineRule="auto"/>
      </w:pPr>
      <w:r>
        <w:separator/>
      </w:r>
    </w:p>
  </w:endnote>
  <w:endnote w:type="continuationSeparator" w:id="0">
    <w:p w14:paraId="43CB2882" w14:textId="77777777" w:rsidR="005544E3" w:rsidRDefault="00554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24D7D62-ED43-D94A-90FB-56B546113B1E}"/>
    <w:embedItalic r:id="rId2" w:fontKey="{3959E5E7-3EEB-7B46-8CC2-E95A825C91CE}"/>
  </w:font>
  <w:font w:name="Aptos">
    <w:panose1 w:val="020B0004020202020204"/>
    <w:charset w:val="00"/>
    <w:family w:val="swiss"/>
    <w:pitch w:val="variable"/>
    <w:sig w:usb0="20000287" w:usb1="00000003" w:usb2="00000000" w:usb3="00000000" w:csb0="0000019F" w:csb1="00000000"/>
    <w:embedRegular r:id="rId3" w:fontKey="{38A66C24-B6E7-3548-8762-5F041F696849}"/>
    <w:embedItalic r:id="rId4" w:fontKey="{04039588-4687-BE42-826F-31C3E3A41C51}"/>
  </w:font>
  <w:font w:name="Play">
    <w:panose1 w:val="040506030A0602020202"/>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6" w:fontKey="{39B730DD-4E2E-3B42-912D-15ED1BC9426F}"/>
    <w:embedBold r:id="rId7" w:fontKey="{1963BBD4-A564-FC48-AF1F-B85FE243111F}"/>
    <w:embedItalic r:id="rId8" w:fontKey="{32DCDEFD-85E9-4F4E-95AF-83BEA3A48A6E}"/>
    <w:embedBoldItalic r:id="rId9" w:fontKey="{6F9EF7E6-B01E-034B-A79D-F19026DE3342}"/>
  </w:font>
  <w:font w:name="Calibri">
    <w:panose1 w:val="020F0502020204030204"/>
    <w:charset w:val="00"/>
    <w:family w:val="swiss"/>
    <w:pitch w:val="variable"/>
    <w:sig w:usb0="E0002AFF" w:usb1="C000247B" w:usb2="00000009" w:usb3="00000000" w:csb0="000001FF" w:csb1="00000000"/>
    <w:embedRegular r:id="rId10" w:fontKey="{5EF915AA-D25B-8749-A48B-BEFE1D4FFC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4A0841"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53" w14:textId="77777777" w:rsidR="004A0841" w:rsidRDefault="004A0841">
    <w:pPr>
      <w:pBdr>
        <w:top w:val="nil"/>
        <w:left w:val="nil"/>
        <w:bottom w:val="nil"/>
        <w:right w:val="nil"/>
        <w:between w:val="nil"/>
      </w:pBdr>
      <w:tabs>
        <w:tab w:val="center" w:pos="4513"/>
        <w:tab w:val="right" w:pos="9026"/>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4964FD1A" w:rsidR="004A0841" w:rsidRDefault="0000000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A3992">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00000055" w14:textId="77777777" w:rsidR="004A0841" w:rsidRDefault="004A0841">
    <w:pPr>
      <w:pBdr>
        <w:top w:val="nil"/>
        <w:left w:val="nil"/>
        <w:bottom w:val="nil"/>
        <w:right w:val="nil"/>
        <w:between w:val="nil"/>
      </w:pBdr>
      <w:tabs>
        <w:tab w:val="center" w:pos="4513"/>
        <w:tab w:val="right" w:pos="9026"/>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3135C" w14:textId="77777777" w:rsidR="005544E3" w:rsidRDefault="005544E3">
      <w:pPr>
        <w:spacing w:after="0" w:line="240" w:lineRule="auto"/>
      </w:pPr>
      <w:r>
        <w:separator/>
      </w:r>
    </w:p>
  </w:footnote>
  <w:footnote w:type="continuationSeparator" w:id="0">
    <w:p w14:paraId="58879FD3" w14:textId="77777777" w:rsidR="005544E3" w:rsidRDefault="00554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77777777" w:rsidR="004A0841" w:rsidRDefault="004A08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E097D"/>
    <w:multiLevelType w:val="multilevel"/>
    <w:tmpl w:val="5106E19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DD97533"/>
    <w:multiLevelType w:val="multilevel"/>
    <w:tmpl w:val="0FF23E20"/>
    <w:lvl w:ilvl="0">
      <w:start w:val="5"/>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2834440">
    <w:abstractNumId w:val="0"/>
  </w:num>
  <w:num w:numId="2" w16cid:durableId="1986280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841"/>
    <w:rsid w:val="0008585C"/>
    <w:rsid w:val="000D060B"/>
    <w:rsid w:val="001C7399"/>
    <w:rsid w:val="002A3992"/>
    <w:rsid w:val="003346FE"/>
    <w:rsid w:val="00493E9C"/>
    <w:rsid w:val="004A0841"/>
    <w:rsid w:val="005544E3"/>
    <w:rsid w:val="007102B9"/>
    <w:rsid w:val="007C542A"/>
    <w:rsid w:val="00E1066C"/>
    <w:rsid w:val="00F97C31"/>
  </w:rsids>
  <m:mathPr>
    <m:mathFont m:val="Cambria Math"/>
    <m:brkBin m:val="before"/>
    <m:brkBinSub m:val="--"/>
    <m:smallFrac m:val="0"/>
    <m:dispDef/>
    <m:lMargin m:val="0"/>
    <m:rMargin m:val="0"/>
    <m:defJc m:val="centerGroup"/>
    <m:wrapIndent m:val="1440"/>
    <m:intLim m:val="subSup"/>
    <m:naryLim m:val="undOvr"/>
  </m:mathPr>
  <w:themeFontLang w:val="it-BR"/>
  <w:clrSchemeMapping w:bg1="light1" w:t1="dark1" w:bg2="light2" w:t2="dark2" w:accent1="accent1" w:accent2="accent2" w:accent3="accent3" w:accent4="accent4" w:accent5="accent5" w:accent6="accent6" w:hyperlink="hyperlink" w:followedHyperlink="followedHyperlink"/>
  <w:decimalSymbol w:val=","/>
  <w:listSeparator w:val=";"/>
  <w14:docId w14:val="4913E119"/>
  <w15:docId w15:val="{F00E0487-4E7B-BC4C-ACDB-22747389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BR"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paragraph" w:styleId="Sottotitolo">
    <w:name w:val="Subtitle"/>
    <w:basedOn w:val="Normale"/>
    <w:next w:val="Normale"/>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5826</Words>
  <Characters>33214</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Raffaele De Giorgi</cp:lastModifiedBy>
  <cp:revision>2</cp:revision>
  <dcterms:created xsi:type="dcterms:W3CDTF">2025-07-22T12:02:00Z</dcterms:created>
  <dcterms:modified xsi:type="dcterms:W3CDTF">2025-07-22T12:02:00Z</dcterms:modified>
</cp:coreProperties>
</file>